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FAFDC" w14:textId="77777777" w:rsidR="00995FFF" w:rsidRDefault="00995FFF" w:rsidP="00897EDB">
      <w:bookmarkStart w:id="0" w:name="_Hlk163679422"/>
      <w:bookmarkEnd w:id="0"/>
    </w:p>
    <w:p w14:paraId="275E9CA4" w14:textId="77777777" w:rsidR="00AA6635" w:rsidRDefault="00AA6635" w:rsidP="00897EDB"/>
    <w:p w14:paraId="2A77E524" w14:textId="77777777" w:rsidR="00AA6635" w:rsidRDefault="00AA6635" w:rsidP="00897EDB"/>
    <w:p w14:paraId="5CD0E0B2" w14:textId="77777777" w:rsidR="00AA6635" w:rsidRDefault="00AA6635" w:rsidP="00897EDB"/>
    <w:p w14:paraId="10AABBE5" w14:textId="77777777" w:rsidR="00AA6635" w:rsidRDefault="00AA6635" w:rsidP="00897EDB"/>
    <w:p w14:paraId="1C92BCEF" w14:textId="77777777" w:rsidR="00AA6635" w:rsidRDefault="00AA6635" w:rsidP="00897EDB"/>
    <w:p w14:paraId="39C49AF4" w14:textId="77777777" w:rsidR="00AA6635" w:rsidRDefault="00AA6635" w:rsidP="00897EDB"/>
    <w:p w14:paraId="3895CF97" w14:textId="77777777" w:rsidR="00AA6635" w:rsidRDefault="00AA6635" w:rsidP="00897EDB"/>
    <w:p w14:paraId="31B94CEF" w14:textId="77777777" w:rsidR="00AA6635" w:rsidRDefault="00AA6635" w:rsidP="00897EDB"/>
    <w:p w14:paraId="5D7EDCD8" w14:textId="77777777" w:rsidR="00995FFF" w:rsidRDefault="00995FFF" w:rsidP="00897EDB"/>
    <w:p w14:paraId="6A4389AC" w14:textId="77777777" w:rsidR="00995FFF" w:rsidRDefault="00995FFF" w:rsidP="00897EDB"/>
    <w:p w14:paraId="4EBFA23E" w14:textId="77777777" w:rsidR="00995FFF" w:rsidRDefault="00995FFF" w:rsidP="00897EDB"/>
    <w:p w14:paraId="7FDF7AD2" w14:textId="42430C9A" w:rsidR="00995FFF" w:rsidRPr="00896B77" w:rsidRDefault="00995FFF" w:rsidP="00016207">
      <w:pPr>
        <w:pStyle w:val="Title"/>
        <w:jc w:val="center"/>
        <w:rPr>
          <w:b/>
          <w:bCs/>
          <w:color w:val="2F5496" w:themeColor="accent1" w:themeShade="BF"/>
        </w:rPr>
      </w:pPr>
      <w:r w:rsidRPr="00896B77">
        <w:rPr>
          <w:b/>
          <w:bCs/>
          <w:color w:val="2F5496" w:themeColor="accent1" w:themeShade="BF"/>
        </w:rPr>
        <w:t xml:space="preserve">Improving Business Regulations </w:t>
      </w:r>
      <w:r w:rsidR="001D3999" w:rsidRPr="00896B77">
        <w:rPr>
          <w:b/>
          <w:bCs/>
          <w:color w:val="2F5496" w:themeColor="accent1" w:themeShade="BF"/>
        </w:rPr>
        <w:t>to Support</w:t>
      </w:r>
      <w:r w:rsidRPr="00896B77">
        <w:rPr>
          <w:b/>
          <w:bCs/>
          <w:color w:val="2F5496" w:themeColor="accent1" w:themeShade="BF"/>
        </w:rPr>
        <w:t xml:space="preserve"> Productivity Growth</w:t>
      </w:r>
      <w:r w:rsidR="001D3999" w:rsidRPr="00896B77">
        <w:rPr>
          <w:b/>
          <w:bCs/>
          <w:color w:val="2F5496" w:themeColor="accent1" w:themeShade="BF"/>
        </w:rPr>
        <w:t xml:space="preserve"> in Viet Nam</w:t>
      </w:r>
    </w:p>
    <w:p w14:paraId="6CFF0977" w14:textId="77777777" w:rsidR="00995FFF" w:rsidRPr="00995FFF" w:rsidRDefault="00995FFF" w:rsidP="00995FFF">
      <w:pPr>
        <w:pStyle w:val="Title"/>
        <w:rPr>
          <w:color w:val="2F5496" w:themeColor="accent1" w:themeShade="BF"/>
        </w:rPr>
      </w:pPr>
    </w:p>
    <w:p w14:paraId="19EF5E5C" w14:textId="77777777" w:rsidR="00995FFF" w:rsidRDefault="00995FFF" w:rsidP="00995FFF">
      <w:pPr>
        <w:pStyle w:val="Subtitle"/>
        <w:rPr>
          <w:color w:val="2F5496" w:themeColor="accent1" w:themeShade="BF"/>
        </w:rPr>
      </w:pPr>
    </w:p>
    <w:p w14:paraId="5E5B8CD9" w14:textId="77777777" w:rsidR="00AA6635" w:rsidRDefault="00AA6635" w:rsidP="00AA6635"/>
    <w:p w14:paraId="403E5E37" w14:textId="77777777" w:rsidR="00AA6635" w:rsidRPr="00AA6635" w:rsidRDefault="00AA6635" w:rsidP="00AA6635"/>
    <w:p w14:paraId="1B562EAB" w14:textId="77777777" w:rsidR="00995FFF" w:rsidRDefault="00995FFF" w:rsidP="00995FFF">
      <w:pPr>
        <w:pStyle w:val="Subtitle"/>
      </w:pPr>
    </w:p>
    <w:p w14:paraId="107AEA56" w14:textId="77777777" w:rsidR="00995FFF" w:rsidRDefault="00995FFF" w:rsidP="00995FFF">
      <w:pPr>
        <w:pStyle w:val="Subtitle"/>
      </w:pPr>
    </w:p>
    <w:p w14:paraId="05323A10" w14:textId="77777777" w:rsidR="00995FFF" w:rsidRDefault="00995FFF" w:rsidP="00995FFF">
      <w:pPr>
        <w:pStyle w:val="Subtitle"/>
      </w:pPr>
    </w:p>
    <w:p w14:paraId="1C3DEB0D" w14:textId="77777777" w:rsidR="00995FFF" w:rsidRDefault="00995FFF" w:rsidP="00995FFF">
      <w:pPr>
        <w:pStyle w:val="Subtitle"/>
      </w:pPr>
    </w:p>
    <w:p w14:paraId="53864E71" w14:textId="77777777" w:rsidR="00995FFF" w:rsidRDefault="00995FFF" w:rsidP="00995FFF">
      <w:pPr>
        <w:pStyle w:val="Subtitle"/>
      </w:pPr>
    </w:p>
    <w:p w14:paraId="3B77D582" w14:textId="0ECC75B0" w:rsidR="00995FFF" w:rsidRDefault="00995FFF" w:rsidP="00995FFF">
      <w:pPr>
        <w:pStyle w:val="Subtitle"/>
        <w:jc w:val="center"/>
      </w:pPr>
    </w:p>
    <w:p w14:paraId="7F46A295" w14:textId="77777777" w:rsidR="00995FFF" w:rsidRDefault="00995FFF" w:rsidP="00995FFF">
      <w:pPr>
        <w:jc w:val="center"/>
      </w:pPr>
    </w:p>
    <w:p w14:paraId="53D81D79" w14:textId="1691682E" w:rsidR="00995FFF" w:rsidRDefault="00995FFF" w:rsidP="00995FFF">
      <w:pPr>
        <w:pStyle w:val="Subtitle"/>
        <w:jc w:val="center"/>
      </w:pPr>
      <w:r>
        <w:t>Draft</w:t>
      </w:r>
    </w:p>
    <w:p w14:paraId="71E4F5EE" w14:textId="4633CED5" w:rsidR="00995FFF" w:rsidRDefault="000E6315" w:rsidP="00AA6635">
      <w:pPr>
        <w:pStyle w:val="Heading1"/>
        <w:numPr>
          <w:ilvl w:val="0"/>
          <w:numId w:val="0"/>
        </w:numPr>
      </w:pPr>
      <w:bookmarkStart w:id="1" w:name="_Toc175228074"/>
      <w:bookmarkStart w:id="2" w:name="_GoBack"/>
      <w:bookmarkEnd w:id="2"/>
      <w:r>
        <w:lastRenderedPageBreak/>
        <w:t>Contents</w:t>
      </w:r>
      <w:bookmarkEnd w:id="1"/>
    </w:p>
    <w:p w14:paraId="253DDE19" w14:textId="77777777" w:rsidR="00995FFF" w:rsidRPr="00995FFF" w:rsidRDefault="00995FFF" w:rsidP="00995FFF"/>
    <w:p w14:paraId="1DE06946" w14:textId="49352903" w:rsidR="00C27879" w:rsidRDefault="00CC2FD5">
      <w:pPr>
        <w:pStyle w:val="TOC1"/>
        <w:rPr>
          <w:rFonts w:eastAsiaTheme="minorEastAsia"/>
          <w:noProof/>
          <w:kern w:val="2"/>
          <w14:ligatures w14:val="standardContextual"/>
        </w:rPr>
      </w:pPr>
      <w:r>
        <w:fldChar w:fldCharType="begin"/>
      </w:r>
      <w:r>
        <w:instrText xml:space="preserve"> TOC \o "1-2" \h \z \u </w:instrText>
      </w:r>
      <w:r>
        <w:fldChar w:fldCharType="separate"/>
      </w:r>
      <w:hyperlink w:anchor="_Toc175228074" w:history="1">
        <w:r w:rsidR="00C27879" w:rsidRPr="00725750">
          <w:rPr>
            <w:rStyle w:val="Hyperlink"/>
            <w:noProof/>
          </w:rPr>
          <w:t>Contents</w:t>
        </w:r>
        <w:r w:rsidR="00C27879">
          <w:rPr>
            <w:noProof/>
            <w:webHidden/>
          </w:rPr>
          <w:tab/>
        </w:r>
        <w:r w:rsidR="00C27879">
          <w:rPr>
            <w:noProof/>
            <w:webHidden/>
          </w:rPr>
          <w:fldChar w:fldCharType="begin"/>
        </w:r>
        <w:r w:rsidR="00C27879">
          <w:rPr>
            <w:noProof/>
            <w:webHidden/>
          </w:rPr>
          <w:instrText xml:space="preserve"> PAGEREF _Toc175228074 \h </w:instrText>
        </w:r>
        <w:r w:rsidR="00C27879">
          <w:rPr>
            <w:noProof/>
            <w:webHidden/>
          </w:rPr>
        </w:r>
        <w:r w:rsidR="00C27879">
          <w:rPr>
            <w:noProof/>
            <w:webHidden/>
          </w:rPr>
          <w:fldChar w:fldCharType="separate"/>
        </w:r>
        <w:r w:rsidR="00C27879">
          <w:rPr>
            <w:noProof/>
            <w:webHidden/>
          </w:rPr>
          <w:t>2</w:t>
        </w:r>
        <w:r w:rsidR="00C27879">
          <w:rPr>
            <w:noProof/>
            <w:webHidden/>
          </w:rPr>
          <w:fldChar w:fldCharType="end"/>
        </w:r>
      </w:hyperlink>
    </w:p>
    <w:p w14:paraId="45335681" w14:textId="471DB7DF" w:rsidR="00C27879" w:rsidRDefault="006A4EB4">
      <w:pPr>
        <w:pStyle w:val="TOC1"/>
        <w:rPr>
          <w:rFonts w:eastAsiaTheme="minorEastAsia"/>
          <w:noProof/>
          <w:kern w:val="2"/>
          <w14:ligatures w14:val="standardContextual"/>
        </w:rPr>
      </w:pPr>
      <w:hyperlink w:anchor="_Toc175228075" w:history="1">
        <w:r w:rsidR="00C27879" w:rsidRPr="00725750">
          <w:rPr>
            <w:rStyle w:val="Hyperlink"/>
            <w:noProof/>
          </w:rPr>
          <w:t>Acknowledgements</w:t>
        </w:r>
        <w:r w:rsidR="00C27879">
          <w:rPr>
            <w:noProof/>
            <w:webHidden/>
          </w:rPr>
          <w:tab/>
        </w:r>
        <w:r w:rsidR="00C27879">
          <w:rPr>
            <w:noProof/>
            <w:webHidden/>
          </w:rPr>
          <w:fldChar w:fldCharType="begin"/>
        </w:r>
        <w:r w:rsidR="00C27879">
          <w:rPr>
            <w:noProof/>
            <w:webHidden/>
          </w:rPr>
          <w:instrText xml:space="preserve"> PAGEREF _Toc175228075 \h </w:instrText>
        </w:r>
        <w:r w:rsidR="00C27879">
          <w:rPr>
            <w:noProof/>
            <w:webHidden/>
          </w:rPr>
        </w:r>
        <w:r w:rsidR="00C27879">
          <w:rPr>
            <w:noProof/>
            <w:webHidden/>
          </w:rPr>
          <w:fldChar w:fldCharType="separate"/>
        </w:r>
        <w:r w:rsidR="00C27879">
          <w:rPr>
            <w:noProof/>
            <w:webHidden/>
          </w:rPr>
          <w:t>3</w:t>
        </w:r>
        <w:r w:rsidR="00C27879">
          <w:rPr>
            <w:noProof/>
            <w:webHidden/>
          </w:rPr>
          <w:fldChar w:fldCharType="end"/>
        </w:r>
      </w:hyperlink>
    </w:p>
    <w:p w14:paraId="5D8A75EB" w14:textId="7FC3819D" w:rsidR="00C27879" w:rsidRDefault="006A4EB4">
      <w:pPr>
        <w:pStyle w:val="TOC1"/>
        <w:rPr>
          <w:rFonts w:eastAsiaTheme="minorEastAsia"/>
          <w:noProof/>
          <w:kern w:val="2"/>
          <w14:ligatures w14:val="standardContextual"/>
        </w:rPr>
      </w:pPr>
      <w:hyperlink w:anchor="_Toc175228076" w:history="1">
        <w:r w:rsidR="00C27879" w:rsidRPr="00725750">
          <w:rPr>
            <w:rStyle w:val="Hyperlink"/>
            <w:noProof/>
          </w:rPr>
          <w:t>Acronyms</w:t>
        </w:r>
        <w:r w:rsidR="00C27879">
          <w:rPr>
            <w:noProof/>
            <w:webHidden/>
          </w:rPr>
          <w:tab/>
        </w:r>
        <w:r w:rsidR="00C27879">
          <w:rPr>
            <w:noProof/>
            <w:webHidden/>
          </w:rPr>
          <w:fldChar w:fldCharType="begin"/>
        </w:r>
        <w:r w:rsidR="00C27879">
          <w:rPr>
            <w:noProof/>
            <w:webHidden/>
          </w:rPr>
          <w:instrText xml:space="preserve"> PAGEREF _Toc175228076 \h </w:instrText>
        </w:r>
        <w:r w:rsidR="00C27879">
          <w:rPr>
            <w:noProof/>
            <w:webHidden/>
          </w:rPr>
        </w:r>
        <w:r w:rsidR="00C27879">
          <w:rPr>
            <w:noProof/>
            <w:webHidden/>
          </w:rPr>
          <w:fldChar w:fldCharType="separate"/>
        </w:r>
        <w:r w:rsidR="00C27879">
          <w:rPr>
            <w:noProof/>
            <w:webHidden/>
          </w:rPr>
          <w:t>4</w:t>
        </w:r>
        <w:r w:rsidR="00C27879">
          <w:rPr>
            <w:noProof/>
            <w:webHidden/>
          </w:rPr>
          <w:fldChar w:fldCharType="end"/>
        </w:r>
      </w:hyperlink>
    </w:p>
    <w:p w14:paraId="23DA9728" w14:textId="7EB8EF7A" w:rsidR="00C27879" w:rsidRDefault="006A4EB4">
      <w:pPr>
        <w:pStyle w:val="TOC1"/>
        <w:rPr>
          <w:rFonts w:eastAsiaTheme="minorEastAsia"/>
          <w:noProof/>
          <w:kern w:val="2"/>
          <w14:ligatures w14:val="standardContextual"/>
        </w:rPr>
      </w:pPr>
      <w:hyperlink w:anchor="_Toc175228077" w:history="1">
        <w:r w:rsidR="00C27879" w:rsidRPr="00725750">
          <w:rPr>
            <w:rStyle w:val="Hyperlink"/>
            <w:rFonts w:cstheme="minorHAnsi"/>
            <w:noProof/>
          </w:rPr>
          <w:t>Executive</w:t>
        </w:r>
        <w:r w:rsidR="00C27879" w:rsidRPr="00725750">
          <w:rPr>
            <w:rStyle w:val="Hyperlink"/>
            <w:noProof/>
          </w:rPr>
          <w:t xml:space="preserve"> Summary</w:t>
        </w:r>
        <w:r w:rsidR="00C27879">
          <w:rPr>
            <w:noProof/>
            <w:webHidden/>
          </w:rPr>
          <w:tab/>
        </w:r>
        <w:r w:rsidR="00C27879">
          <w:rPr>
            <w:noProof/>
            <w:webHidden/>
          </w:rPr>
          <w:fldChar w:fldCharType="begin"/>
        </w:r>
        <w:r w:rsidR="00C27879">
          <w:rPr>
            <w:noProof/>
            <w:webHidden/>
          </w:rPr>
          <w:instrText xml:space="preserve"> PAGEREF _Toc175228077 \h </w:instrText>
        </w:r>
        <w:r w:rsidR="00C27879">
          <w:rPr>
            <w:noProof/>
            <w:webHidden/>
          </w:rPr>
        </w:r>
        <w:r w:rsidR="00C27879">
          <w:rPr>
            <w:noProof/>
            <w:webHidden/>
          </w:rPr>
          <w:fldChar w:fldCharType="separate"/>
        </w:r>
        <w:r w:rsidR="00C27879">
          <w:rPr>
            <w:noProof/>
            <w:webHidden/>
          </w:rPr>
          <w:t>5</w:t>
        </w:r>
        <w:r w:rsidR="00C27879">
          <w:rPr>
            <w:noProof/>
            <w:webHidden/>
          </w:rPr>
          <w:fldChar w:fldCharType="end"/>
        </w:r>
      </w:hyperlink>
    </w:p>
    <w:p w14:paraId="13E5AAC2" w14:textId="248BBF24" w:rsidR="00C27879" w:rsidRDefault="006A4EB4">
      <w:pPr>
        <w:pStyle w:val="TOC1"/>
        <w:rPr>
          <w:rFonts w:eastAsiaTheme="minorEastAsia"/>
          <w:noProof/>
          <w:kern w:val="2"/>
          <w14:ligatures w14:val="standardContextual"/>
        </w:rPr>
      </w:pPr>
      <w:hyperlink w:anchor="_Toc175228078" w:history="1">
        <w:r w:rsidR="00C27879" w:rsidRPr="00725750">
          <w:rPr>
            <w:rStyle w:val="Hyperlink"/>
            <w:noProof/>
          </w:rPr>
          <w:t>I.</w:t>
        </w:r>
        <w:r w:rsidR="00C27879">
          <w:rPr>
            <w:rFonts w:eastAsiaTheme="minorEastAsia"/>
            <w:noProof/>
            <w:kern w:val="2"/>
            <w14:ligatures w14:val="standardContextual"/>
          </w:rPr>
          <w:tab/>
        </w:r>
        <w:r w:rsidR="00C27879" w:rsidRPr="00725750">
          <w:rPr>
            <w:rStyle w:val="Hyperlink"/>
            <w:noProof/>
          </w:rPr>
          <w:t>Motivation</w:t>
        </w:r>
        <w:r w:rsidR="00C27879">
          <w:rPr>
            <w:noProof/>
            <w:webHidden/>
          </w:rPr>
          <w:tab/>
        </w:r>
        <w:r w:rsidR="00C27879">
          <w:rPr>
            <w:noProof/>
            <w:webHidden/>
          </w:rPr>
          <w:fldChar w:fldCharType="begin"/>
        </w:r>
        <w:r w:rsidR="00C27879">
          <w:rPr>
            <w:noProof/>
            <w:webHidden/>
          </w:rPr>
          <w:instrText xml:space="preserve"> PAGEREF _Toc175228078 \h </w:instrText>
        </w:r>
        <w:r w:rsidR="00C27879">
          <w:rPr>
            <w:noProof/>
            <w:webHidden/>
          </w:rPr>
        </w:r>
        <w:r w:rsidR="00C27879">
          <w:rPr>
            <w:noProof/>
            <w:webHidden/>
          </w:rPr>
          <w:fldChar w:fldCharType="separate"/>
        </w:r>
        <w:r w:rsidR="00C27879">
          <w:rPr>
            <w:noProof/>
            <w:webHidden/>
          </w:rPr>
          <w:t>9</w:t>
        </w:r>
        <w:r w:rsidR="00C27879">
          <w:rPr>
            <w:noProof/>
            <w:webHidden/>
          </w:rPr>
          <w:fldChar w:fldCharType="end"/>
        </w:r>
      </w:hyperlink>
    </w:p>
    <w:p w14:paraId="6CD4840E" w14:textId="18F6D50F" w:rsidR="00C27879" w:rsidRDefault="006A4EB4">
      <w:pPr>
        <w:pStyle w:val="TOC1"/>
        <w:rPr>
          <w:rFonts w:eastAsiaTheme="minorEastAsia"/>
          <w:noProof/>
          <w:kern w:val="2"/>
          <w14:ligatures w14:val="standardContextual"/>
        </w:rPr>
      </w:pPr>
      <w:hyperlink w:anchor="_Toc175228079" w:history="1">
        <w:r w:rsidR="00C27879" w:rsidRPr="00725750">
          <w:rPr>
            <w:rStyle w:val="Hyperlink"/>
            <w:noProof/>
          </w:rPr>
          <w:t>II.</w:t>
        </w:r>
        <w:r w:rsidR="00C27879">
          <w:rPr>
            <w:rFonts w:eastAsiaTheme="minorEastAsia"/>
            <w:noProof/>
            <w:kern w:val="2"/>
            <w14:ligatures w14:val="standardContextual"/>
          </w:rPr>
          <w:tab/>
        </w:r>
        <w:r w:rsidR="00C27879" w:rsidRPr="00725750">
          <w:rPr>
            <w:rStyle w:val="Hyperlink"/>
            <w:noProof/>
          </w:rPr>
          <w:t>Methodology</w:t>
        </w:r>
        <w:r w:rsidR="00C27879">
          <w:rPr>
            <w:noProof/>
            <w:webHidden/>
          </w:rPr>
          <w:tab/>
        </w:r>
        <w:r w:rsidR="00C27879">
          <w:rPr>
            <w:noProof/>
            <w:webHidden/>
          </w:rPr>
          <w:fldChar w:fldCharType="begin"/>
        </w:r>
        <w:r w:rsidR="00C27879">
          <w:rPr>
            <w:noProof/>
            <w:webHidden/>
          </w:rPr>
          <w:instrText xml:space="preserve"> PAGEREF _Toc175228079 \h </w:instrText>
        </w:r>
        <w:r w:rsidR="00C27879">
          <w:rPr>
            <w:noProof/>
            <w:webHidden/>
          </w:rPr>
        </w:r>
        <w:r w:rsidR="00C27879">
          <w:rPr>
            <w:noProof/>
            <w:webHidden/>
          </w:rPr>
          <w:fldChar w:fldCharType="separate"/>
        </w:r>
        <w:r w:rsidR="00C27879">
          <w:rPr>
            <w:noProof/>
            <w:webHidden/>
          </w:rPr>
          <w:t>12</w:t>
        </w:r>
        <w:r w:rsidR="00C27879">
          <w:rPr>
            <w:noProof/>
            <w:webHidden/>
          </w:rPr>
          <w:fldChar w:fldCharType="end"/>
        </w:r>
      </w:hyperlink>
    </w:p>
    <w:p w14:paraId="2FDAF40A" w14:textId="3A20E63F" w:rsidR="00C27879" w:rsidRDefault="006A4EB4">
      <w:pPr>
        <w:pStyle w:val="TOC1"/>
        <w:rPr>
          <w:rFonts w:eastAsiaTheme="minorEastAsia"/>
          <w:noProof/>
          <w:kern w:val="2"/>
          <w14:ligatures w14:val="standardContextual"/>
        </w:rPr>
      </w:pPr>
      <w:hyperlink w:anchor="_Toc175228080" w:history="1">
        <w:r w:rsidR="00C27879" w:rsidRPr="00725750">
          <w:rPr>
            <w:rStyle w:val="Hyperlink"/>
            <w:noProof/>
          </w:rPr>
          <w:t>III.</w:t>
        </w:r>
        <w:r w:rsidR="00C27879">
          <w:rPr>
            <w:rFonts w:eastAsiaTheme="minorEastAsia"/>
            <w:noProof/>
            <w:kern w:val="2"/>
            <w14:ligatures w14:val="standardContextual"/>
          </w:rPr>
          <w:tab/>
        </w:r>
        <w:r w:rsidR="00C27879" w:rsidRPr="00725750">
          <w:rPr>
            <w:rStyle w:val="Hyperlink"/>
            <w:noProof/>
          </w:rPr>
          <w:t>Prioritizing regulatory reforms based on firm dynamics</w:t>
        </w:r>
        <w:r w:rsidR="00C27879">
          <w:rPr>
            <w:noProof/>
            <w:webHidden/>
          </w:rPr>
          <w:tab/>
        </w:r>
        <w:r w:rsidR="00C27879">
          <w:rPr>
            <w:noProof/>
            <w:webHidden/>
          </w:rPr>
          <w:fldChar w:fldCharType="begin"/>
        </w:r>
        <w:r w:rsidR="00C27879">
          <w:rPr>
            <w:noProof/>
            <w:webHidden/>
          </w:rPr>
          <w:instrText xml:space="preserve"> PAGEREF _Toc175228080 \h </w:instrText>
        </w:r>
        <w:r w:rsidR="00C27879">
          <w:rPr>
            <w:noProof/>
            <w:webHidden/>
          </w:rPr>
        </w:r>
        <w:r w:rsidR="00C27879">
          <w:rPr>
            <w:noProof/>
            <w:webHidden/>
          </w:rPr>
          <w:fldChar w:fldCharType="separate"/>
        </w:r>
        <w:r w:rsidR="00C27879">
          <w:rPr>
            <w:noProof/>
            <w:webHidden/>
          </w:rPr>
          <w:t>13</w:t>
        </w:r>
        <w:r w:rsidR="00C27879">
          <w:rPr>
            <w:noProof/>
            <w:webHidden/>
          </w:rPr>
          <w:fldChar w:fldCharType="end"/>
        </w:r>
      </w:hyperlink>
    </w:p>
    <w:p w14:paraId="7DD0ED49" w14:textId="3F20C445" w:rsidR="00C27879" w:rsidRDefault="006A4EB4">
      <w:pPr>
        <w:pStyle w:val="TOC2"/>
        <w:rPr>
          <w:rFonts w:eastAsiaTheme="minorEastAsia"/>
          <w:noProof/>
          <w:kern w:val="2"/>
          <w14:ligatures w14:val="standardContextual"/>
        </w:rPr>
      </w:pPr>
      <w:hyperlink w:anchor="_Toc175228081" w:history="1">
        <w:r w:rsidR="00C27879" w:rsidRPr="00725750">
          <w:rPr>
            <w:rStyle w:val="Hyperlink"/>
            <w:noProof/>
          </w:rPr>
          <w:t>A.</w:t>
        </w:r>
        <w:r w:rsidR="00C27879">
          <w:rPr>
            <w:rFonts w:eastAsiaTheme="minorEastAsia"/>
            <w:noProof/>
            <w:kern w:val="2"/>
            <w14:ligatures w14:val="standardContextual"/>
          </w:rPr>
          <w:tab/>
        </w:r>
        <w:r w:rsidR="00C27879" w:rsidRPr="00725750">
          <w:rPr>
            <w:rStyle w:val="Hyperlink"/>
            <w:noProof/>
          </w:rPr>
          <w:t>Productivity analysis and the role of regulatory reform</w:t>
        </w:r>
        <w:r w:rsidR="00C27879">
          <w:rPr>
            <w:noProof/>
            <w:webHidden/>
          </w:rPr>
          <w:tab/>
        </w:r>
        <w:r w:rsidR="00C27879">
          <w:rPr>
            <w:noProof/>
            <w:webHidden/>
          </w:rPr>
          <w:fldChar w:fldCharType="begin"/>
        </w:r>
        <w:r w:rsidR="00C27879">
          <w:rPr>
            <w:noProof/>
            <w:webHidden/>
          </w:rPr>
          <w:instrText xml:space="preserve"> PAGEREF _Toc175228081 \h </w:instrText>
        </w:r>
        <w:r w:rsidR="00C27879">
          <w:rPr>
            <w:noProof/>
            <w:webHidden/>
          </w:rPr>
        </w:r>
        <w:r w:rsidR="00C27879">
          <w:rPr>
            <w:noProof/>
            <w:webHidden/>
          </w:rPr>
          <w:fldChar w:fldCharType="separate"/>
        </w:r>
        <w:r w:rsidR="00C27879">
          <w:rPr>
            <w:noProof/>
            <w:webHidden/>
          </w:rPr>
          <w:t>13</w:t>
        </w:r>
        <w:r w:rsidR="00C27879">
          <w:rPr>
            <w:noProof/>
            <w:webHidden/>
          </w:rPr>
          <w:fldChar w:fldCharType="end"/>
        </w:r>
      </w:hyperlink>
    </w:p>
    <w:p w14:paraId="532BF890" w14:textId="5ECF62C8" w:rsidR="00C27879" w:rsidRDefault="006A4EB4">
      <w:pPr>
        <w:pStyle w:val="TOC2"/>
        <w:rPr>
          <w:rFonts w:eastAsiaTheme="minorEastAsia"/>
          <w:noProof/>
          <w:kern w:val="2"/>
          <w14:ligatures w14:val="standardContextual"/>
        </w:rPr>
      </w:pPr>
      <w:hyperlink w:anchor="_Toc175228082" w:history="1">
        <w:r w:rsidR="00C27879" w:rsidRPr="00725750">
          <w:rPr>
            <w:rStyle w:val="Hyperlink"/>
            <w:noProof/>
          </w:rPr>
          <w:t>B.</w:t>
        </w:r>
        <w:r w:rsidR="00C27879">
          <w:rPr>
            <w:rFonts w:eastAsiaTheme="minorEastAsia"/>
            <w:noProof/>
            <w:kern w:val="2"/>
            <w14:ligatures w14:val="standardContextual"/>
          </w:rPr>
          <w:tab/>
        </w:r>
        <w:r w:rsidR="00C27879" w:rsidRPr="00725750">
          <w:rPr>
            <w:rStyle w:val="Hyperlink"/>
            <w:noProof/>
          </w:rPr>
          <w:t>Identifying business regulations for reforms</w:t>
        </w:r>
        <w:r w:rsidR="00C27879">
          <w:rPr>
            <w:noProof/>
            <w:webHidden/>
          </w:rPr>
          <w:tab/>
        </w:r>
        <w:r w:rsidR="00C27879">
          <w:rPr>
            <w:noProof/>
            <w:webHidden/>
          </w:rPr>
          <w:fldChar w:fldCharType="begin"/>
        </w:r>
        <w:r w:rsidR="00C27879">
          <w:rPr>
            <w:noProof/>
            <w:webHidden/>
          </w:rPr>
          <w:instrText xml:space="preserve"> PAGEREF _Toc175228082 \h </w:instrText>
        </w:r>
        <w:r w:rsidR="00C27879">
          <w:rPr>
            <w:noProof/>
            <w:webHidden/>
          </w:rPr>
        </w:r>
        <w:r w:rsidR="00C27879">
          <w:rPr>
            <w:noProof/>
            <w:webHidden/>
          </w:rPr>
          <w:fldChar w:fldCharType="separate"/>
        </w:r>
        <w:r w:rsidR="00C27879">
          <w:rPr>
            <w:noProof/>
            <w:webHidden/>
          </w:rPr>
          <w:t>18</w:t>
        </w:r>
        <w:r w:rsidR="00C27879">
          <w:rPr>
            <w:noProof/>
            <w:webHidden/>
          </w:rPr>
          <w:fldChar w:fldCharType="end"/>
        </w:r>
      </w:hyperlink>
    </w:p>
    <w:p w14:paraId="58EB8DA5" w14:textId="699F054E" w:rsidR="00C27879" w:rsidRDefault="006A4EB4">
      <w:pPr>
        <w:pStyle w:val="TOC1"/>
        <w:rPr>
          <w:rFonts w:eastAsiaTheme="minorEastAsia"/>
          <w:noProof/>
          <w:kern w:val="2"/>
          <w14:ligatures w14:val="standardContextual"/>
        </w:rPr>
      </w:pPr>
      <w:hyperlink w:anchor="_Toc175228083" w:history="1">
        <w:r w:rsidR="00C27879" w:rsidRPr="00725750">
          <w:rPr>
            <w:rStyle w:val="Hyperlink"/>
            <w:noProof/>
          </w:rPr>
          <w:t>IV.</w:t>
        </w:r>
        <w:r w:rsidR="00C27879">
          <w:rPr>
            <w:rFonts w:eastAsiaTheme="minorEastAsia"/>
            <w:noProof/>
            <w:kern w:val="2"/>
            <w14:ligatures w14:val="standardContextual"/>
          </w:rPr>
          <w:tab/>
        </w:r>
        <w:r w:rsidR="00C27879" w:rsidRPr="00725750">
          <w:rPr>
            <w:rStyle w:val="Hyperlink"/>
            <w:noProof/>
          </w:rPr>
          <w:t>Assessing Viet Nam’s Regulatory Reform Program 2020-2025 at mid-term</w:t>
        </w:r>
        <w:r w:rsidR="00C27879">
          <w:rPr>
            <w:noProof/>
            <w:webHidden/>
          </w:rPr>
          <w:tab/>
        </w:r>
        <w:r w:rsidR="00C27879">
          <w:rPr>
            <w:noProof/>
            <w:webHidden/>
          </w:rPr>
          <w:fldChar w:fldCharType="begin"/>
        </w:r>
        <w:r w:rsidR="00C27879">
          <w:rPr>
            <w:noProof/>
            <w:webHidden/>
          </w:rPr>
          <w:instrText xml:space="preserve"> PAGEREF _Toc175228083 \h </w:instrText>
        </w:r>
        <w:r w:rsidR="00C27879">
          <w:rPr>
            <w:noProof/>
            <w:webHidden/>
          </w:rPr>
        </w:r>
        <w:r w:rsidR="00C27879">
          <w:rPr>
            <w:noProof/>
            <w:webHidden/>
          </w:rPr>
          <w:fldChar w:fldCharType="separate"/>
        </w:r>
        <w:r w:rsidR="00C27879">
          <w:rPr>
            <w:noProof/>
            <w:webHidden/>
          </w:rPr>
          <w:t>23</w:t>
        </w:r>
        <w:r w:rsidR="00C27879">
          <w:rPr>
            <w:noProof/>
            <w:webHidden/>
          </w:rPr>
          <w:fldChar w:fldCharType="end"/>
        </w:r>
      </w:hyperlink>
    </w:p>
    <w:p w14:paraId="5FA5CAE8" w14:textId="7D9083AF" w:rsidR="00C27879" w:rsidRDefault="006A4EB4">
      <w:pPr>
        <w:pStyle w:val="TOC2"/>
        <w:rPr>
          <w:rFonts w:eastAsiaTheme="minorEastAsia"/>
          <w:noProof/>
          <w:kern w:val="2"/>
          <w14:ligatures w14:val="standardContextual"/>
        </w:rPr>
      </w:pPr>
      <w:hyperlink w:anchor="_Toc175228084" w:history="1">
        <w:r w:rsidR="00C27879" w:rsidRPr="00725750">
          <w:rPr>
            <w:rStyle w:val="Hyperlink"/>
            <w:noProof/>
          </w:rPr>
          <w:t>A.</w:t>
        </w:r>
        <w:r w:rsidR="00C27879">
          <w:rPr>
            <w:rFonts w:eastAsiaTheme="minorEastAsia"/>
            <w:noProof/>
            <w:kern w:val="2"/>
            <w14:ligatures w14:val="standardContextual"/>
          </w:rPr>
          <w:tab/>
        </w:r>
        <w:r w:rsidR="00C27879" w:rsidRPr="00725750">
          <w:rPr>
            <w:rStyle w:val="Hyperlink"/>
            <w:noProof/>
          </w:rPr>
          <w:t>Results at mid-term: noticeable progress in simplification but difficulty in estimating compliance costs</w:t>
        </w:r>
        <w:r w:rsidR="00C27879">
          <w:rPr>
            <w:noProof/>
            <w:webHidden/>
          </w:rPr>
          <w:tab/>
        </w:r>
        <w:r w:rsidR="00C27879">
          <w:rPr>
            <w:noProof/>
            <w:webHidden/>
          </w:rPr>
          <w:fldChar w:fldCharType="begin"/>
        </w:r>
        <w:r w:rsidR="00C27879">
          <w:rPr>
            <w:noProof/>
            <w:webHidden/>
          </w:rPr>
          <w:instrText xml:space="preserve"> PAGEREF _Toc175228084 \h </w:instrText>
        </w:r>
        <w:r w:rsidR="00C27879">
          <w:rPr>
            <w:noProof/>
            <w:webHidden/>
          </w:rPr>
        </w:r>
        <w:r w:rsidR="00C27879">
          <w:rPr>
            <w:noProof/>
            <w:webHidden/>
          </w:rPr>
          <w:fldChar w:fldCharType="separate"/>
        </w:r>
        <w:r w:rsidR="00C27879">
          <w:rPr>
            <w:noProof/>
            <w:webHidden/>
          </w:rPr>
          <w:t>25</w:t>
        </w:r>
        <w:r w:rsidR="00C27879">
          <w:rPr>
            <w:noProof/>
            <w:webHidden/>
          </w:rPr>
          <w:fldChar w:fldCharType="end"/>
        </w:r>
      </w:hyperlink>
    </w:p>
    <w:p w14:paraId="7666098F" w14:textId="632B7428" w:rsidR="00C27879" w:rsidRDefault="006A4EB4">
      <w:pPr>
        <w:pStyle w:val="TOC2"/>
        <w:rPr>
          <w:rFonts w:eastAsiaTheme="minorEastAsia"/>
          <w:noProof/>
          <w:kern w:val="2"/>
          <w14:ligatures w14:val="standardContextual"/>
        </w:rPr>
      </w:pPr>
      <w:hyperlink w:anchor="_Toc175228085" w:history="1">
        <w:r w:rsidR="00C27879" w:rsidRPr="00725750">
          <w:rPr>
            <w:rStyle w:val="Hyperlink"/>
            <w:noProof/>
          </w:rPr>
          <w:t>B.</w:t>
        </w:r>
        <w:r w:rsidR="00C27879">
          <w:rPr>
            <w:rFonts w:eastAsiaTheme="minorEastAsia"/>
            <w:noProof/>
            <w:kern w:val="2"/>
            <w14:ligatures w14:val="standardContextual"/>
          </w:rPr>
          <w:tab/>
        </w:r>
        <w:r w:rsidR="00C27879" w:rsidRPr="00725750">
          <w:rPr>
            <w:rStyle w:val="Hyperlink"/>
            <w:noProof/>
          </w:rPr>
          <w:t>Qualitative assessment: solid foundations, but some implementation gaps and opportunities for greater prioritization</w:t>
        </w:r>
        <w:r w:rsidR="00C27879">
          <w:rPr>
            <w:noProof/>
            <w:webHidden/>
          </w:rPr>
          <w:tab/>
        </w:r>
        <w:r w:rsidR="00C27879">
          <w:rPr>
            <w:noProof/>
            <w:webHidden/>
          </w:rPr>
          <w:fldChar w:fldCharType="begin"/>
        </w:r>
        <w:r w:rsidR="00C27879">
          <w:rPr>
            <w:noProof/>
            <w:webHidden/>
          </w:rPr>
          <w:instrText xml:space="preserve"> PAGEREF _Toc175228085 \h </w:instrText>
        </w:r>
        <w:r w:rsidR="00C27879">
          <w:rPr>
            <w:noProof/>
            <w:webHidden/>
          </w:rPr>
        </w:r>
        <w:r w:rsidR="00C27879">
          <w:rPr>
            <w:noProof/>
            <w:webHidden/>
          </w:rPr>
          <w:fldChar w:fldCharType="separate"/>
        </w:r>
        <w:r w:rsidR="00C27879">
          <w:rPr>
            <w:noProof/>
            <w:webHidden/>
          </w:rPr>
          <w:t>29</w:t>
        </w:r>
        <w:r w:rsidR="00C27879">
          <w:rPr>
            <w:noProof/>
            <w:webHidden/>
          </w:rPr>
          <w:fldChar w:fldCharType="end"/>
        </w:r>
      </w:hyperlink>
    </w:p>
    <w:p w14:paraId="4389A6A3" w14:textId="74C792EF" w:rsidR="00C27879" w:rsidRDefault="006A4EB4">
      <w:pPr>
        <w:pStyle w:val="TOC1"/>
        <w:rPr>
          <w:rFonts w:eastAsiaTheme="minorEastAsia"/>
          <w:noProof/>
          <w:kern w:val="2"/>
          <w14:ligatures w14:val="standardContextual"/>
        </w:rPr>
      </w:pPr>
      <w:hyperlink w:anchor="_Toc175228086" w:history="1">
        <w:r w:rsidR="00C27879" w:rsidRPr="00725750">
          <w:rPr>
            <w:rStyle w:val="Hyperlink"/>
            <w:noProof/>
          </w:rPr>
          <w:t>V.</w:t>
        </w:r>
        <w:r w:rsidR="00C27879">
          <w:rPr>
            <w:rFonts w:eastAsiaTheme="minorEastAsia"/>
            <w:noProof/>
            <w:kern w:val="2"/>
            <w14:ligatures w14:val="standardContextual"/>
          </w:rPr>
          <w:tab/>
        </w:r>
        <w:r w:rsidR="00C27879" w:rsidRPr="00725750">
          <w:rPr>
            <w:rStyle w:val="Hyperlink"/>
            <w:noProof/>
          </w:rPr>
          <w:t>Conclusion and policy recommendations: toward next generation regulatory reforms</w:t>
        </w:r>
        <w:r w:rsidR="00C27879">
          <w:rPr>
            <w:noProof/>
            <w:webHidden/>
          </w:rPr>
          <w:tab/>
        </w:r>
        <w:r w:rsidR="00C27879">
          <w:rPr>
            <w:noProof/>
            <w:webHidden/>
          </w:rPr>
          <w:fldChar w:fldCharType="begin"/>
        </w:r>
        <w:r w:rsidR="00C27879">
          <w:rPr>
            <w:noProof/>
            <w:webHidden/>
          </w:rPr>
          <w:instrText xml:space="preserve"> PAGEREF _Toc175228086 \h </w:instrText>
        </w:r>
        <w:r w:rsidR="00C27879">
          <w:rPr>
            <w:noProof/>
            <w:webHidden/>
          </w:rPr>
        </w:r>
        <w:r w:rsidR="00C27879">
          <w:rPr>
            <w:noProof/>
            <w:webHidden/>
          </w:rPr>
          <w:fldChar w:fldCharType="separate"/>
        </w:r>
        <w:r w:rsidR="00C27879">
          <w:rPr>
            <w:noProof/>
            <w:webHidden/>
          </w:rPr>
          <w:t>41</w:t>
        </w:r>
        <w:r w:rsidR="00C27879">
          <w:rPr>
            <w:noProof/>
            <w:webHidden/>
          </w:rPr>
          <w:fldChar w:fldCharType="end"/>
        </w:r>
      </w:hyperlink>
    </w:p>
    <w:p w14:paraId="12CAA671" w14:textId="5E833969" w:rsidR="00C27879" w:rsidRDefault="006A4EB4">
      <w:pPr>
        <w:pStyle w:val="TOC2"/>
        <w:rPr>
          <w:rFonts w:eastAsiaTheme="minorEastAsia"/>
          <w:noProof/>
          <w:kern w:val="2"/>
          <w14:ligatures w14:val="standardContextual"/>
        </w:rPr>
      </w:pPr>
      <w:hyperlink w:anchor="_Toc175228087" w:history="1">
        <w:r w:rsidR="00C27879" w:rsidRPr="00725750">
          <w:rPr>
            <w:rStyle w:val="Hyperlink"/>
            <w:noProof/>
          </w:rPr>
          <w:t>A.</w:t>
        </w:r>
        <w:r w:rsidR="00C27879">
          <w:rPr>
            <w:rFonts w:eastAsiaTheme="minorEastAsia"/>
            <w:noProof/>
            <w:kern w:val="2"/>
            <w14:ligatures w14:val="standardContextual"/>
          </w:rPr>
          <w:tab/>
        </w:r>
        <w:r w:rsidR="00C27879" w:rsidRPr="00725750">
          <w:rPr>
            <w:rStyle w:val="Hyperlink"/>
            <w:noProof/>
          </w:rPr>
          <w:t>Short-term (2024-2025) – mid-course adjustments to maximize impact of Resolution 68</w:t>
        </w:r>
        <w:r w:rsidR="00C27879">
          <w:rPr>
            <w:noProof/>
            <w:webHidden/>
          </w:rPr>
          <w:tab/>
        </w:r>
        <w:r w:rsidR="00C27879">
          <w:rPr>
            <w:noProof/>
            <w:webHidden/>
          </w:rPr>
          <w:fldChar w:fldCharType="begin"/>
        </w:r>
        <w:r w:rsidR="00C27879">
          <w:rPr>
            <w:noProof/>
            <w:webHidden/>
          </w:rPr>
          <w:instrText xml:space="preserve"> PAGEREF _Toc175228087 \h </w:instrText>
        </w:r>
        <w:r w:rsidR="00C27879">
          <w:rPr>
            <w:noProof/>
            <w:webHidden/>
          </w:rPr>
        </w:r>
        <w:r w:rsidR="00C27879">
          <w:rPr>
            <w:noProof/>
            <w:webHidden/>
          </w:rPr>
          <w:fldChar w:fldCharType="separate"/>
        </w:r>
        <w:r w:rsidR="00C27879">
          <w:rPr>
            <w:noProof/>
            <w:webHidden/>
          </w:rPr>
          <w:t>42</w:t>
        </w:r>
        <w:r w:rsidR="00C27879">
          <w:rPr>
            <w:noProof/>
            <w:webHidden/>
          </w:rPr>
          <w:fldChar w:fldCharType="end"/>
        </w:r>
      </w:hyperlink>
    </w:p>
    <w:p w14:paraId="035FEDC2" w14:textId="5B5CCA33" w:rsidR="00C27879" w:rsidRDefault="006A4EB4">
      <w:pPr>
        <w:pStyle w:val="TOC2"/>
        <w:rPr>
          <w:rFonts w:eastAsiaTheme="minorEastAsia"/>
          <w:noProof/>
          <w:kern w:val="2"/>
          <w14:ligatures w14:val="standardContextual"/>
        </w:rPr>
      </w:pPr>
      <w:hyperlink w:anchor="_Toc175228088" w:history="1">
        <w:r w:rsidR="00C27879" w:rsidRPr="00725750">
          <w:rPr>
            <w:rStyle w:val="Hyperlink"/>
            <w:noProof/>
          </w:rPr>
          <w:t>B.</w:t>
        </w:r>
        <w:r w:rsidR="00C27879">
          <w:rPr>
            <w:rFonts w:eastAsiaTheme="minorEastAsia"/>
            <w:noProof/>
            <w:kern w:val="2"/>
            <w14:ligatures w14:val="standardContextual"/>
          </w:rPr>
          <w:tab/>
        </w:r>
        <w:r w:rsidR="00C27879" w:rsidRPr="00725750">
          <w:rPr>
            <w:rStyle w:val="Hyperlink"/>
            <w:noProof/>
          </w:rPr>
          <w:t>Medium-term (2026-2030) – evolve to a new paradigm in business regulations</w:t>
        </w:r>
        <w:r w:rsidR="00C27879">
          <w:rPr>
            <w:noProof/>
            <w:webHidden/>
          </w:rPr>
          <w:tab/>
        </w:r>
        <w:r w:rsidR="00C27879">
          <w:rPr>
            <w:noProof/>
            <w:webHidden/>
          </w:rPr>
          <w:fldChar w:fldCharType="begin"/>
        </w:r>
        <w:r w:rsidR="00C27879">
          <w:rPr>
            <w:noProof/>
            <w:webHidden/>
          </w:rPr>
          <w:instrText xml:space="preserve"> PAGEREF _Toc175228088 \h </w:instrText>
        </w:r>
        <w:r w:rsidR="00C27879">
          <w:rPr>
            <w:noProof/>
            <w:webHidden/>
          </w:rPr>
        </w:r>
        <w:r w:rsidR="00C27879">
          <w:rPr>
            <w:noProof/>
            <w:webHidden/>
          </w:rPr>
          <w:fldChar w:fldCharType="separate"/>
        </w:r>
        <w:r w:rsidR="00C27879">
          <w:rPr>
            <w:noProof/>
            <w:webHidden/>
          </w:rPr>
          <w:t>44</w:t>
        </w:r>
        <w:r w:rsidR="00C27879">
          <w:rPr>
            <w:noProof/>
            <w:webHidden/>
          </w:rPr>
          <w:fldChar w:fldCharType="end"/>
        </w:r>
      </w:hyperlink>
    </w:p>
    <w:p w14:paraId="1230E181" w14:textId="34675EFB" w:rsidR="00C27879" w:rsidRDefault="006A4EB4">
      <w:pPr>
        <w:pStyle w:val="TOC1"/>
        <w:rPr>
          <w:rFonts w:eastAsiaTheme="minorEastAsia"/>
          <w:noProof/>
          <w:kern w:val="2"/>
          <w14:ligatures w14:val="standardContextual"/>
        </w:rPr>
      </w:pPr>
      <w:hyperlink w:anchor="_Toc175228089" w:history="1">
        <w:r w:rsidR="00C27879" w:rsidRPr="00725750">
          <w:rPr>
            <w:rStyle w:val="Hyperlink"/>
            <w:noProof/>
          </w:rPr>
          <w:t>References</w:t>
        </w:r>
        <w:r w:rsidR="00C27879">
          <w:rPr>
            <w:noProof/>
            <w:webHidden/>
          </w:rPr>
          <w:tab/>
        </w:r>
        <w:r w:rsidR="00C27879">
          <w:rPr>
            <w:noProof/>
            <w:webHidden/>
          </w:rPr>
          <w:fldChar w:fldCharType="begin"/>
        </w:r>
        <w:r w:rsidR="00C27879">
          <w:rPr>
            <w:noProof/>
            <w:webHidden/>
          </w:rPr>
          <w:instrText xml:space="preserve"> PAGEREF _Toc175228089 \h </w:instrText>
        </w:r>
        <w:r w:rsidR="00C27879">
          <w:rPr>
            <w:noProof/>
            <w:webHidden/>
          </w:rPr>
        </w:r>
        <w:r w:rsidR="00C27879">
          <w:rPr>
            <w:noProof/>
            <w:webHidden/>
          </w:rPr>
          <w:fldChar w:fldCharType="separate"/>
        </w:r>
        <w:r w:rsidR="00C27879">
          <w:rPr>
            <w:noProof/>
            <w:webHidden/>
          </w:rPr>
          <w:t>56</w:t>
        </w:r>
        <w:r w:rsidR="00C27879">
          <w:rPr>
            <w:noProof/>
            <w:webHidden/>
          </w:rPr>
          <w:fldChar w:fldCharType="end"/>
        </w:r>
      </w:hyperlink>
    </w:p>
    <w:p w14:paraId="7847C3EA" w14:textId="42F3AB2B" w:rsidR="00C27879" w:rsidRDefault="006A4EB4">
      <w:pPr>
        <w:pStyle w:val="TOC2"/>
        <w:rPr>
          <w:rFonts w:eastAsiaTheme="minorEastAsia"/>
          <w:noProof/>
          <w:kern w:val="2"/>
          <w14:ligatures w14:val="standardContextual"/>
        </w:rPr>
      </w:pPr>
      <w:hyperlink w:anchor="_Toc175228090" w:history="1">
        <w:r w:rsidR="00C27879" w:rsidRPr="00725750">
          <w:rPr>
            <w:rStyle w:val="Hyperlink"/>
            <w:noProof/>
          </w:rPr>
          <w:t>Annex I: ICA 2.0 Methodology</w:t>
        </w:r>
        <w:r w:rsidR="00C27879">
          <w:rPr>
            <w:noProof/>
            <w:webHidden/>
          </w:rPr>
          <w:tab/>
        </w:r>
        <w:r w:rsidR="00C27879">
          <w:rPr>
            <w:noProof/>
            <w:webHidden/>
          </w:rPr>
          <w:fldChar w:fldCharType="begin"/>
        </w:r>
        <w:r w:rsidR="00C27879">
          <w:rPr>
            <w:noProof/>
            <w:webHidden/>
          </w:rPr>
          <w:instrText xml:space="preserve"> PAGEREF _Toc175228090 \h </w:instrText>
        </w:r>
        <w:r w:rsidR="00C27879">
          <w:rPr>
            <w:noProof/>
            <w:webHidden/>
          </w:rPr>
        </w:r>
        <w:r w:rsidR="00C27879">
          <w:rPr>
            <w:noProof/>
            <w:webHidden/>
          </w:rPr>
          <w:fldChar w:fldCharType="separate"/>
        </w:r>
        <w:r w:rsidR="00C27879">
          <w:rPr>
            <w:noProof/>
            <w:webHidden/>
          </w:rPr>
          <w:t>59</w:t>
        </w:r>
        <w:r w:rsidR="00C27879">
          <w:rPr>
            <w:noProof/>
            <w:webHidden/>
          </w:rPr>
          <w:fldChar w:fldCharType="end"/>
        </w:r>
      </w:hyperlink>
    </w:p>
    <w:p w14:paraId="7433CEBB" w14:textId="28E6DC51" w:rsidR="00C27879" w:rsidRDefault="006A4EB4">
      <w:pPr>
        <w:pStyle w:val="TOC2"/>
        <w:rPr>
          <w:rFonts w:eastAsiaTheme="minorEastAsia"/>
          <w:noProof/>
          <w:kern w:val="2"/>
          <w14:ligatures w14:val="standardContextual"/>
        </w:rPr>
      </w:pPr>
      <w:hyperlink w:anchor="_Toc175228091" w:history="1">
        <w:r w:rsidR="00C27879" w:rsidRPr="00725750">
          <w:rPr>
            <w:rStyle w:val="Hyperlink"/>
            <w:noProof/>
          </w:rPr>
          <w:t>Annex II: Data Sources Used in the Diagnostic Analysis</w:t>
        </w:r>
        <w:r w:rsidR="00C27879">
          <w:rPr>
            <w:noProof/>
            <w:webHidden/>
          </w:rPr>
          <w:tab/>
        </w:r>
        <w:r w:rsidR="00C27879">
          <w:rPr>
            <w:noProof/>
            <w:webHidden/>
          </w:rPr>
          <w:fldChar w:fldCharType="begin"/>
        </w:r>
        <w:r w:rsidR="00C27879">
          <w:rPr>
            <w:noProof/>
            <w:webHidden/>
          </w:rPr>
          <w:instrText xml:space="preserve"> PAGEREF _Toc175228091 \h </w:instrText>
        </w:r>
        <w:r w:rsidR="00C27879">
          <w:rPr>
            <w:noProof/>
            <w:webHidden/>
          </w:rPr>
        </w:r>
        <w:r w:rsidR="00C27879">
          <w:rPr>
            <w:noProof/>
            <w:webHidden/>
          </w:rPr>
          <w:fldChar w:fldCharType="separate"/>
        </w:r>
        <w:r w:rsidR="00C27879">
          <w:rPr>
            <w:noProof/>
            <w:webHidden/>
          </w:rPr>
          <w:t>61</w:t>
        </w:r>
        <w:r w:rsidR="00C27879">
          <w:rPr>
            <w:noProof/>
            <w:webHidden/>
          </w:rPr>
          <w:fldChar w:fldCharType="end"/>
        </w:r>
      </w:hyperlink>
    </w:p>
    <w:p w14:paraId="028EDD57" w14:textId="1ED69832" w:rsidR="00C27879" w:rsidRDefault="006A4EB4">
      <w:pPr>
        <w:pStyle w:val="TOC2"/>
        <w:rPr>
          <w:rFonts w:eastAsiaTheme="minorEastAsia"/>
          <w:noProof/>
          <w:kern w:val="2"/>
          <w14:ligatures w14:val="standardContextual"/>
        </w:rPr>
      </w:pPr>
      <w:hyperlink w:anchor="_Toc175228092" w:history="1">
        <w:r w:rsidR="00C27879" w:rsidRPr="00725750">
          <w:rPr>
            <w:rStyle w:val="Hyperlink"/>
            <w:noProof/>
          </w:rPr>
          <w:t>Annex III: Business Licensing and Inspections Maturity Assessment (BLIMS) methodology</w:t>
        </w:r>
        <w:r w:rsidR="00C27879">
          <w:rPr>
            <w:noProof/>
            <w:webHidden/>
          </w:rPr>
          <w:tab/>
        </w:r>
        <w:r w:rsidR="00C27879">
          <w:rPr>
            <w:noProof/>
            <w:webHidden/>
          </w:rPr>
          <w:fldChar w:fldCharType="begin"/>
        </w:r>
        <w:r w:rsidR="00C27879">
          <w:rPr>
            <w:noProof/>
            <w:webHidden/>
          </w:rPr>
          <w:instrText xml:space="preserve"> PAGEREF _Toc175228092 \h </w:instrText>
        </w:r>
        <w:r w:rsidR="00C27879">
          <w:rPr>
            <w:noProof/>
            <w:webHidden/>
          </w:rPr>
        </w:r>
        <w:r w:rsidR="00C27879">
          <w:rPr>
            <w:noProof/>
            <w:webHidden/>
          </w:rPr>
          <w:fldChar w:fldCharType="separate"/>
        </w:r>
        <w:r w:rsidR="00C27879">
          <w:rPr>
            <w:noProof/>
            <w:webHidden/>
          </w:rPr>
          <w:t>65</w:t>
        </w:r>
        <w:r w:rsidR="00C27879">
          <w:rPr>
            <w:noProof/>
            <w:webHidden/>
          </w:rPr>
          <w:fldChar w:fldCharType="end"/>
        </w:r>
      </w:hyperlink>
    </w:p>
    <w:p w14:paraId="3DCDFA65" w14:textId="17EC424B" w:rsidR="00C27879" w:rsidRDefault="006A4EB4">
      <w:pPr>
        <w:pStyle w:val="TOC1"/>
        <w:rPr>
          <w:rFonts w:eastAsiaTheme="minorEastAsia"/>
          <w:noProof/>
          <w:kern w:val="2"/>
          <w14:ligatures w14:val="standardContextual"/>
        </w:rPr>
      </w:pPr>
      <w:hyperlink w:anchor="_Toc175228093" w:history="1">
        <w:r w:rsidR="00C27879" w:rsidRPr="00725750">
          <w:rPr>
            <w:rStyle w:val="Hyperlink"/>
            <w:noProof/>
          </w:rPr>
          <w:t>Annex IV: A Case Study of the Impact of Regulations: Wind Turbine Manufacturing in Viet Nam</w:t>
        </w:r>
        <w:r w:rsidR="00C27879">
          <w:rPr>
            <w:noProof/>
            <w:webHidden/>
          </w:rPr>
          <w:tab/>
        </w:r>
        <w:r w:rsidR="00C27879">
          <w:rPr>
            <w:noProof/>
            <w:webHidden/>
          </w:rPr>
          <w:fldChar w:fldCharType="begin"/>
        </w:r>
        <w:r w:rsidR="00C27879">
          <w:rPr>
            <w:noProof/>
            <w:webHidden/>
          </w:rPr>
          <w:instrText xml:space="preserve"> PAGEREF _Toc175228093 \h </w:instrText>
        </w:r>
        <w:r w:rsidR="00C27879">
          <w:rPr>
            <w:noProof/>
            <w:webHidden/>
          </w:rPr>
        </w:r>
        <w:r w:rsidR="00C27879">
          <w:rPr>
            <w:noProof/>
            <w:webHidden/>
          </w:rPr>
          <w:fldChar w:fldCharType="separate"/>
        </w:r>
        <w:r w:rsidR="00C27879">
          <w:rPr>
            <w:noProof/>
            <w:webHidden/>
          </w:rPr>
          <w:t>66</w:t>
        </w:r>
        <w:r w:rsidR="00C27879">
          <w:rPr>
            <w:noProof/>
            <w:webHidden/>
          </w:rPr>
          <w:fldChar w:fldCharType="end"/>
        </w:r>
      </w:hyperlink>
    </w:p>
    <w:p w14:paraId="220BB97B" w14:textId="25DB5D82" w:rsidR="00C27879" w:rsidRDefault="006A4EB4">
      <w:pPr>
        <w:pStyle w:val="TOC1"/>
        <w:rPr>
          <w:rFonts w:eastAsiaTheme="minorEastAsia"/>
          <w:noProof/>
          <w:kern w:val="2"/>
          <w14:ligatures w14:val="standardContextual"/>
        </w:rPr>
      </w:pPr>
      <w:hyperlink w:anchor="_Toc175228094" w:history="1">
        <w:r w:rsidR="00C27879" w:rsidRPr="00725750">
          <w:rPr>
            <w:rStyle w:val="Hyperlink"/>
            <w:noProof/>
          </w:rPr>
          <w:t>Annex V: Lessons from Viet Nam’s recent reform of business regulations relevant to other countries</w:t>
        </w:r>
        <w:r w:rsidR="00C27879">
          <w:rPr>
            <w:noProof/>
            <w:webHidden/>
          </w:rPr>
          <w:tab/>
        </w:r>
        <w:r w:rsidR="00C27879">
          <w:rPr>
            <w:noProof/>
            <w:webHidden/>
          </w:rPr>
          <w:fldChar w:fldCharType="begin"/>
        </w:r>
        <w:r w:rsidR="00C27879">
          <w:rPr>
            <w:noProof/>
            <w:webHidden/>
          </w:rPr>
          <w:instrText xml:space="preserve"> PAGEREF _Toc175228094 \h </w:instrText>
        </w:r>
        <w:r w:rsidR="00C27879">
          <w:rPr>
            <w:noProof/>
            <w:webHidden/>
          </w:rPr>
        </w:r>
        <w:r w:rsidR="00C27879">
          <w:rPr>
            <w:noProof/>
            <w:webHidden/>
          </w:rPr>
          <w:fldChar w:fldCharType="separate"/>
        </w:r>
        <w:r w:rsidR="00C27879">
          <w:rPr>
            <w:noProof/>
            <w:webHidden/>
          </w:rPr>
          <w:t>68</w:t>
        </w:r>
        <w:r w:rsidR="00C27879">
          <w:rPr>
            <w:noProof/>
            <w:webHidden/>
          </w:rPr>
          <w:fldChar w:fldCharType="end"/>
        </w:r>
      </w:hyperlink>
    </w:p>
    <w:p w14:paraId="360A59E3" w14:textId="36D7646C" w:rsidR="0048780D" w:rsidRDefault="00CC2FD5">
      <w:pPr>
        <w:rPr>
          <w:rFonts w:asciiTheme="majorHAnsi" w:eastAsiaTheme="majorEastAsia" w:hAnsiTheme="majorHAnsi" w:cstheme="majorBidi"/>
          <w:color w:val="2F5496" w:themeColor="accent1" w:themeShade="BF"/>
          <w:sz w:val="32"/>
          <w:szCs w:val="32"/>
        </w:rPr>
      </w:pPr>
      <w:r>
        <w:fldChar w:fldCharType="end"/>
      </w:r>
      <w:r w:rsidR="0048780D">
        <w:br w:type="page"/>
      </w:r>
    </w:p>
    <w:p w14:paraId="266439B8" w14:textId="25A0AC70" w:rsidR="00995FFF" w:rsidRDefault="000E6315" w:rsidP="00C3650B">
      <w:pPr>
        <w:pStyle w:val="Heading1"/>
        <w:numPr>
          <w:ilvl w:val="0"/>
          <w:numId w:val="0"/>
        </w:numPr>
      </w:pPr>
      <w:bookmarkStart w:id="3" w:name="_Toc175228075"/>
      <w:r>
        <w:lastRenderedPageBreak/>
        <w:t>Acknowledgements</w:t>
      </w:r>
      <w:bookmarkEnd w:id="3"/>
    </w:p>
    <w:p w14:paraId="4D48838B" w14:textId="77777777" w:rsidR="0048780D" w:rsidRPr="0048780D" w:rsidRDefault="0048780D" w:rsidP="0048780D"/>
    <w:p w14:paraId="6AE90A02" w14:textId="24DBB6E1" w:rsidR="00D274F6" w:rsidRDefault="00D274F6" w:rsidP="00016207">
      <w:pPr>
        <w:jc w:val="both"/>
      </w:pPr>
      <w:r>
        <w:t xml:space="preserve">This report was prepared by a team led by </w:t>
      </w:r>
      <w:r w:rsidR="000E75C6">
        <w:t xml:space="preserve">Marcin </w:t>
      </w:r>
      <w:r w:rsidR="005C0A67">
        <w:t xml:space="preserve">Piatkowski </w:t>
      </w:r>
      <w:r w:rsidR="00B97E9E">
        <w:t xml:space="preserve">and Anwar Aridi </w:t>
      </w:r>
      <w:r>
        <w:t xml:space="preserve">under the general supervision of </w:t>
      </w:r>
      <w:r w:rsidR="000E75C6">
        <w:t xml:space="preserve">Zafer </w:t>
      </w:r>
      <w:r w:rsidR="00DB7B52">
        <w:t xml:space="preserve">Mustafaoglu </w:t>
      </w:r>
      <w:r w:rsidR="00C73D1F">
        <w:t>and Asya</w:t>
      </w:r>
      <w:r w:rsidR="00924875">
        <w:t xml:space="preserve"> Akhlaque</w:t>
      </w:r>
      <w:r>
        <w:t>. The team comprised</w:t>
      </w:r>
      <w:r w:rsidR="000801DF">
        <w:t xml:space="preserve"> </w:t>
      </w:r>
      <w:r w:rsidR="00925BE0">
        <w:t xml:space="preserve">Zenaida Hernandez Uriz, </w:t>
      </w:r>
      <w:r w:rsidR="00925BE0" w:rsidRPr="009F32BA">
        <w:t>Vinh Quang Dang</w:t>
      </w:r>
      <w:r w:rsidR="00925BE0">
        <w:t xml:space="preserve">, </w:t>
      </w:r>
      <w:r w:rsidR="009F32BA" w:rsidRPr="00D467C3">
        <w:t>Aris Molfetas-Lygkiaris</w:t>
      </w:r>
      <w:r w:rsidR="009F32BA">
        <w:t>, James Brown</w:t>
      </w:r>
      <w:r w:rsidR="000801DF">
        <w:t xml:space="preserve">, </w:t>
      </w:r>
      <w:r w:rsidR="00925BE0">
        <w:t xml:space="preserve">Silvia Muzi, </w:t>
      </w:r>
      <w:r w:rsidR="00924875">
        <w:t xml:space="preserve">Mauricio Pinzon Latorre, </w:t>
      </w:r>
      <w:r w:rsidR="00925BE0">
        <w:t xml:space="preserve">Lucio Castro, Peter Kusek, </w:t>
      </w:r>
      <w:r w:rsidR="00281CC4" w:rsidRPr="00281CC4">
        <w:t>Nguyen Hung Quang</w:t>
      </w:r>
      <w:r w:rsidR="00BB2588">
        <w:t xml:space="preserve"> (consultant)</w:t>
      </w:r>
      <w:r w:rsidR="00281CC4">
        <w:t>,</w:t>
      </w:r>
      <w:r w:rsidR="00281CC4" w:rsidRPr="00281CC4">
        <w:t xml:space="preserve"> </w:t>
      </w:r>
      <w:r w:rsidR="00BB2588">
        <w:t xml:space="preserve">and </w:t>
      </w:r>
      <w:r w:rsidR="00932AA5" w:rsidRPr="00932AA5">
        <w:t>Phung Thanh Xuan</w:t>
      </w:r>
      <w:r w:rsidR="00BB2588">
        <w:t xml:space="preserve"> (consultant)</w:t>
      </w:r>
      <w:r>
        <w:t>. The team is grateful for the technical inputs and contributions provided by</w:t>
      </w:r>
      <w:r w:rsidR="00C73D1F">
        <w:t xml:space="preserve"> </w:t>
      </w:r>
      <w:r w:rsidR="00406591">
        <w:t>Toni Eliasz</w:t>
      </w:r>
      <w:r w:rsidR="00BB0F12">
        <w:t xml:space="preserve"> and</w:t>
      </w:r>
      <w:r w:rsidR="00406591">
        <w:t xml:space="preserve"> </w:t>
      </w:r>
      <w:r w:rsidR="00BC22C5" w:rsidRPr="00BC22C5">
        <w:t xml:space="preserve">Huong </w:t>
      </w:r>
      <w:r w:rsidR="00BC22C5" w:rsidRPr="00BB0F12">
        <w:t>Thi Lan Tran</w:t>
      </w:r>
      <w:r w:rsidRPr="00AA6635">
        <w:t>.</w:t>
      </w:r>
      <w:r w:rsidRPr="00BB0F12">
        <w:t xml:space="preserve"> </w:t>
      </w:r>
      <w:r w:rsidR="00C73D1F" w:rsidRPr="00BB0F12">
        <w:t>Hoa</w:t>
      </w:r>
      <w:r>
        <w:t xml:space="preserve"> </w:t>
      </w:r>
      <w:r w:rsidR="00E1209E">
        <w:t xml:space="preserve">Chau Nguyen </w:t>
      </w:r>
      <w:r>
        <w:t xml:space="preserve">provided </w:t>
      </w:r>
      <w:r w:rsidR="00766186">
        <w:t>excellent</w:t>
      </w:r>
      <w:r>
        <w:t xml:space="preserve"> administrative support.</w:t>
      </w:r>
    </w:p>
    <w:p w14:paraId="0931E245" w14:textId="312AF177" w:rsidR="00D274F6" w:rsidRDefault="00D274F6" w:rsidP="00016207">
      <w:pPr>
        <w:jc w:val="both"/>
      </w:pPr>
      <w:r>
        <w:t xml:space="preserve">The team gratefully acknowledges the guidance of </w:t>
      </w:r>
      <w:r w:rsidR="000121D1">
        <w:t xml:space="preserve">Mariam Sherman, </w:t>
      </w:r>
      <w:r w:rsidR="00C73D1F">
        <w:t>Carol</w:t>
      </w:r>
      <w:r w:rsidR="00BC22C5">
        <w:t>yn</w:t>
      </w:r>
      <w:r w:rsidR="00C73D1F">
        <w:t xml:space="preserve"> Turk</w:t>
      </w:r>
      <w:r w:rsidR="006B0B3F">
        <w:t>,</w:t>
      </w:r>
      <w:r>
        <w:t xml:space="preserve"> and </w:t>
      </w:r>
      <w:r w:rsidR="00C73D1F">
        <w:t>Andrea Coppola</w:t>
      </w:r>
      <w:r>
        <w:t xml:space="preserve"> in the preparation of this report.</w:t>
      </w:r>
    </w:p>
    <w:p w14:paraId="5B7BC965" w14:textId="137FBF85" w:rsidR="00896B77" w:rsidRDefault="00896B77" w:rsidP="00896B77">
      <w:pPr>
        <w:jc w:val="both"/>
        <w:rPr>
          <w:rFonts w:eastAsia="Times New Roman"/>
          <w:color w:val="333333"/>
        </w:rPr>
      </w:pPr>
      <w:r>
        <w:t xml:space="preserve">The team is grateful to the peer reviewers for their comments: </w:t>
      </w:r>
      <w:r>
        <w:rPr>
          <w:rFonts w:eastAsia="Times New Roman"/>
          <w:color w:val="333333"/>
        </w:rPr>
        <w:t>Lien Anh Pham (IFC, Senior Operations Officer), Alejandro Espinosa-Wang (Senior Economist, EAEF1) and Leo Iacovone (Lead Economist, EECF1).</w:t>
      </w:r>
    </w:p>
    <w:p w14:paraId="394971D9" w14:textId="01A88DB1" w:rsidR="00995FFF" w:rsidRDefault="00D274F6" w:rsidP="00016207">
      <w:pPr>
        <w:jc w:val="both"/>
      </w:pPr>
      <w:r>
        <w:t xml:space="preserve">The team would like to express gratitude to the many officials of the government of the </w:t>
      </w:r>
      <w:r w:rsidR="008A7416">
        <w:t xml:space="preserve">Viet Nam </w:t>
      </w:r>
      <w:r>
        <w:t>and private sector representatives who generously shared their knowledge and insights with the team</w:t>
      </w:r>
      <w:r w:rsidR="008A7416">
        <w:t>.</w:t>
      </w:r>
    </w:p>
    <w:p w14:paraId="2DC9F15D" w14:textId="5382E475" w:rsidR="00790350" w:rsidRPr="00995FFF" w:rsidRDefault="00790350" w:rsidP="00016207">
      <w:pPr>
        <w:jc w:val="both"/>
      </w:pPr>
      <w:r>
        <w:t>Last but not least, t</w:t>
      </w:r>
      <w:r w:rsidRPr="00790350">
        <w:t xml:space="preserve">he team would like to express its gratitude to the </w:t>
      </w:r>
      <w:r w:rsidR="00905E9A">
        <w:t xml:space="preserve">Korean Trust Fund provided by the Korean Ministry of Economy </w:t>
      </w:r>
      <w:r w:rsidR="00A77280" w:rsidRPr="00A77280">
        <w:t xml:space="preserve">and Finance </w:t>
      </w:r>
      <w:r w:rsidRPr="00790350">
        <w:t>for financing this work.</w:t>
      </w:r>
    </w:p>
    <w:p w14:paraId="781EEF54" w14:textId="77777777" w:rsidR="0048780D" w:rsidRDefault="0048780D">
      <w:pPr>
        <w:rPr>
          <w:rFonts w:asciiTheme="majorHAnsi" w:eastAsiaTheme="majorEastAsia" w:hAnsiTheme="majorHAnsi" w:cstheme="majorBidi"/>
          <w:color w:val="2F5496" w:themeColor="accent1" w:themeShade="BF"/>
          <w:sz w:val="32"/>
          <w:szCs w:val="32"/>
        </w:rPr>
      </w:pPr>
      <w:r>
        <w:br w:type="page"/>
      </w:r>
    </w:p>
    <w:p w14:paraId="25786397" w14:textId="4E8E7CCE" w:rsidR="00995FFF" w:rsidRDefault="000E6315" w:rsidP="00C3650B">
      <w:pPr>
        <w:pStyle w:val="Heading1"/>
        <w:numPr>
          <w:ilvl w:val="0"/>
          <w:numId w:val="0"/>
        </w:numPr>
      </w:pPr>
      <w:bookmarkStart w:id="4" w:name="_Toc175228076"/>
      <w:r>
        <w:lastRenderedPageBreak/>
        <w:t>Acronyms</w:t>
      </w:r>
      <w:bookmarkEnd w:id="4"/>
    </w:p>
    <w:p w14:paraId="61A0DF67" w14:textId="77777777" w:rsidR="0048780D" w:rsidRPr="0048780D" w:rsidRDefault="0048780D" w:rsidP="004878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464F6E" w14:paraId="4028845E" w14:textId="77777777">
        <w:tc>
          <w:tcPr>
            <w:tcW w:w="1255" w:type="dxa"/>
          </w:tcPr>
          <w:p w14:paraId="5D95BCCD" w14:textId="31B9C397" w:rsidR="00464F6E" w:rsidRDefault="00464F6E">
            <w:r>
              <w:t>ACAPR</w:t>
            </w:r>
          </w:p>
        </w:tc>
        <w:tc>
          <w:tcPr>
            <w:tcW w:w="8095" w:type="dxa"/>
          </w:tcPr>
          <w:p w14:paraId="5478FA55" w14:textId="3D41C71C" w:rsidR="00464F6E" w:rsidRDefault="00464F6E">
            <w:r>
              <w:t>Advisory Council for Administrative Procedure Reform</w:t>
            </w:r>
          </w:p>
        </w:tc>
      </w:tr>
      <w:tr w:rsidR="00802AF5" w14:paraId="5847BE92" w14:textId="77777777">
        <w:tc>
          <w:tcPr>
            <w:tcW w:w="1255" w:type="dxa"/>
          </w:tcPr>
          <w:p w14:paraId="0E010D9E" w14:textId="3D68C26C" w:rsidR="00802AF5" w:rsidRDefault="00802AF5">
            <w:r>
              <w:t>AI</w:t>
            </w:r>
          </w:p>
        </w:tc>
        <w:tc>
          <w:tcPr>
            <w:tcW w:w="8095" w:type="dxa"/>
          </w:tcPr>
          <w:p w14:paraId="597428A2" w14:textId="1BB08CDD" w:rsidR="00802AF5" w:rsidRDefault="00802AF5">
            <w:r>
              <w:t>Artificial Intelligence</w:t>
            </w:r>
          </w:p>
        </w:tc>
      </w:tr>
      <w:tr w:rsidR="0048780D" w14:paraId="113B4977" w14:textId="77777777">
        <w:tc>
          <w:tcPr>
            <w:tcW w:w="1255" w:type="dxa"/>
          </w:tcPr>
          <w:p w14:paraId="02ED2338" w14:textId="77777777" w:rsidR="0048780D" w:rsidRDefault="0048780D">
            <w:r>
              <w:t>APCA</w:t>
            </w:r>
          </w:p>
        </w:tc>
        <w:tc>
          <w:tcPr>
            <w:tcW w:w="8095" w:type="dxa"/>
          </w:tcPr>
          <w:p w14:paraId="5E6CDBDB" w14:textId="77777777" w:rsidR="0048780D" w:rsidRDefault="0048780D">
            <w:r>
              <w:t>Administrative Procedure Control Agency</w:t>
            </w:r>
          </w:p>
        </w:tc>
      </w:tr>
      <w:tr w:rsidR="00022159" w14:paraId="1B3530CF" w14:textId="77777777">
        <w:tc>
          <w:tcPr>
            <w:tcW w:w="1255" w:type="dxa"/>
          </w:tcPr>
          <w:p w14:paraId="5A06CE10" w14:textId="021B45F5" w:rsidR="00022159" w:rsidRDefault="00022159">
            <w:r>
              <w:t>EAP</w:t>
            </w:r>
          </w:p>
        </w:tc>
        <w:tc>
          <w:tcPr>
            <w:tcW w:w="8095" w:type="dxa"/>
          </w:tcPr>
          <w:p w14:paraId="521C1A99" w14:textId="40BE3CB0" w:rsidR="00022159" w:rsidRDefault="00022159">
            <w:r>
              <w:t>East Asia and the Pacific</w:t>
            </w:r>
          </w:p>
        </w:tc>
      </w:tr>
      <w:tr w:rsidR="002005D1" w14:paraId="3FBC9D83" w14:textId="77777777">
        <w:tc>
          <w:tcPr>
            <w:tcW w:w="1255" w:type="dxa"/>
          </w:tcPr>
          <w:p w14:paraId="56A2A22A" w14:textId="249802F2" w:rsidR="002005D1" w:rsidRDefault="002005D1">
            <w:r>
              <w:t>eGIF</w:t>
            </w:r>
          </w:p>
        </w:tc>
        <w:tc>
          <w:tcPr>
            <w:tcW w:w="8095" w:type="dxa"/>
          </w:tcPr>
          <w:p w14:paraId="38340BFC" w14:textId="65D30170" w:rsidR="002005D1" w:rsidRDefault="002005D1">
            <w:r w:rsidRPr="002005D1">
              <w:t>government interoperability framework</w:t>
            </w:r>
          </w:p>
        </w:tc>
      </w:tr>
      <w:tr w:rsidR="00022159" w14:paraId="5A8AD198" w14:textId="77777777">
        <w:tc>
          <w:tcPr>
            <w:tcW w:w="1255" w:type="dxa"/>
          </w:tcPr>
          <w:p w14:paraId="07CC56C4" w14:textId="7AFCD418" w:rsidR="00022159" w:rsidRDefault="00022159">
            <w:r>
              <w:t>FDI</w:t>
            </w:r>
          </w:p>
        </w:tc>
        <w:tc>
          <w:tcPr>
            <w:tcW w:w="8095" w:type="dxa"/>
          </w:tcPr>
          <w:p w14:paraId="4529400B" w14:textId="066F7760" w:rsidR="00022159" w:rsidRDefault="00022159">
            <w:r>
              <w:t>foreign direct investment</w:t>
            </w:r>
          </w:p>
        </w:tc>
      </w:tr>
      <w:tr w:rsidR="00171856" w14:paraId="419BF985" w14:textId="77777777">
        <w:tc>
          <w:tcPr>
            <w:tcW w:w="1255" w:type="dxa"/>
          </w:tcPr>
          <w:p w14:paraId="1BE51D7A" w14:textId="0BBB0398" w:rsidR="00171856" w:rsidRDefault="00171856">
            <w:r>
              <w:t>G2B</w:t>
            </w:r>
          </w:p>
        </w:tc>
        <w:tc>
          <w:tcPr>
            <w:tcW w:w="8095" w:type="dxa"/>
          </w:tcPr>
          <w:p w14:paraId="3FA89654" w14:textId="66431FB6" w:rsidR="00171856" w:rsidRDefault="00171856">
            <w:r>
              <w:t>government to business</w:t>
            </w:r>
          </w:p>
        </w:tc>
      </w:tr>
      <w:tr w:rsidR="0048780D" w14:paraId="316304C8" w14:textId="77777777">
        <w:tc>
          <w:tcPr>
            <w:tcW w:w="1255" w:type="dxa"/>
          </w:tcPr>
          <w:p w14:paraId="2B719402" w14:textId="77777777" w:rsidR="0048780D" w:rsidRDefault="0048780D">
            <w:r>
              <w:t>GDP</w:t>
            </w:r>
          </w:p>
          <w:p w14:paraId="2A7E09BD" w14:textId="1B5B6E83" w:rsidR="0048780D" w:rsidRDefault="00F62B0B">
            <w:r>
              <w:t>GOV</w:t>
            </w:r>
          </w:p>
        </w:tc>
        <w:tc>
          <w:tcPr>
            <w:tcW w:w="8095" w:type="dxa"/>
          </w:tcPr>
          <w:p w14:paraId="6FED07A2" w14:textId="77777777" w:rsidR="00EF4D98" w:rsidRDefault="0048780D">
            <w:r>
              <w:t>gross domestic product</w:t>
            </w:r>
          </w:p>
          <w:p w14:paraId="40485148" w14:textId="36C8563D" w:rsidR="0048780D" w:rsidRDefault="00F62B0B">
            <w:r>
              <w:t>Governmen</w:t>
            </w:r>
            <w:r w:rsidR="009C108A">
              <w:t>t</w:t>
            </w:r>
            <w:r>
              <w:t xml:space="preserve"> of Viet Nam</w:t>
            </w:r>
          </w:p>
        </w:tc>
      </w:tr>
      <w:tr w:rsidR="0048780D" w14:paraId="0EF9B788" w14:textId="77777777">
        <w:tc>
          <w:tcPr>
            <w:tcW w:w="1255" w:type="dxa"/>
          </w:tcPr>
          <w:p w14:paraId="3EBB4D64" w14:textId="77777777" w:rsidR="0048780D" w:rsidRDefault="0048780D">
            <w:r>
              <w:t>GVC</w:t>
            </w:r>
          </w:p>
        </w:tc>
        <w:tc>
          <w:tcPr>
            <w:tcW w:w="8095" w:type="dxa"/>
          </w:tcPr>
          <w:p w14:paraId="3294BBE9" w14:textId="0C6A4C56" w:rsidR="0048780D" w:rsidRDefault="00F62B0B">
            <w:r>
              <w:t xml:space="preserve">Global </w:t>
            </w:r>
            <w:r w:rsidR="0048780D">
              <w:t>value chains</w:t>
            </w:r>
          </w:p>
        </w:tc>
      </w:tr>
      <w:tr w:rsidR="00593165" w14:paraId="443B8518" w14:textId="77777777">
        <w:tc>
          <w:tcPr>
            <w:tcW w:w="1255" w:type="dxa"/>
          </w:tcPr>
          <w:p w14:paraId="29921270" w14:textId="23DEAC9D" w:rsidR="00593165" w:rsidRDefault="00593165">
            <w:r>
              <w:t>KPIs</w:t>
            </w:r>
          </w:p>
        </w:tc>
        <w:tc>
          <w:tcPr>
            <w:tcW w:w="8095" w:type="dxa"/>
          </w:tcPr>
          <w:p w14:paraId="63DA2E9F" w14:textId="10D48999" w:rsidR="00593165" w:rsidRDefault="00593165">
            <w:r>
              <w:t>Key Performance Indicators</w:t>
            </w:r>
          </w:p>
        </w:tc>
      </w:tr>
      <w:tr w:rsidR="00FB210E" w14:paraId="31762E95" w14:textId="77777777">
        <w:tc>
          <w:tcPr>
            <w:tcW w:w="1255" w:type="dxa"/>
          </w:tcPr>
          <w:p w14:paraId="2E2CF6AC" w14:textId="4DE3324B" w:rsidR="00FB210E" w:rsidRDefault="00FB210E">
            <w:r>
              <w:t>MARD</w:t>
            </w:r>
          </w:p>
        </w:tc>
        <w:tc>
          <w:tcPr>
            <w:tcW w:w="8095" w:type="dxa"/>
          </w:tcPr>
          <w:p w14:paraId="0E0002C0" w14:textId="2E7512C2" w:rsidR="00FB210E" w:rsidRDefault="00FB210E">
            <w:r>
              <w:t>Ministry of Agriculture and Rural Development</w:t>
            </w:r>
          </w:p>
        </w:tc>
      </w:tr>
      <w:tr w:rsidR="00A02B62" w14:paraId="544F77B8" w14:textId="77777777">
        <w:tc>
          <w:tcPr>
            <w:tcW w:w="1255" w:type="dxa"/>
          </w:tcPr>
          <w:p w14:paraId="39DBFF54" w14:textId="39898D5B" w:rsidR="00A02B62" w:rsidRDefault="00A02B62">
            <w:r>
              <w:t>MoIT</w:t>
            </w:r>
          </w:p>
        </w:tc>
        <w:tc>
          <w:tcPr>
            <w:tcW w:w="8095" w:type="dxa"/>
          </w:tcPr>
          <w:p w14:paraId="47DF15AD" w14:textId="2EE415F3" w:rsidR="00A02B62" w:rsidRDefault="00A02B62">
            <w:r>
              <w:t>Ministry of Industry and Trade</w:t>
            </w:r>
          </w:p>
        </w:tc>
      </w:tr>
      <w:tr w:rsidR="00001F5C" w14:paraId="13E61B78" w14:textId="77777777">
        <w:tc>
          <w:tcPr>
            <w:tcW w:w="1255" w:type="dxa"/>
          </w:tcPr>
          <w:p w14:paraId="31CE4E8C" w14:textId="71D8F1AB" w:rsidR="00001F5C" w:rsidRDefault="00001F5C">
            <w:r>
              <w:t>NDAP</w:t>
            </w:r>
          </w:p>
        </w:tc>
        <w:tc>
          <w:tcPr>
            <w:tcW w:w="8095" w:type="dxa"/>
          </w:tcPr>
          <w:p w14:paraId="52A80C20" w14:textId="042A174D" w:rsidR="00001F5C" w:rsidRDefault="00001F5C">
            <w:r>
              <w:t>National Database of Administrative Procedures</w:t>
            </w:r>
          </w:p>
        </w:tc>
      </w:tr>
      <w:tr w:rsidR="00EF4231" w14:paraId="4D37906B" w14:textId="77777777">
        <w:tc>
          <w:tcPr>
            <w:tcW w:w="1255" w:type="dxa"/>
          </w:tcPr>
          <w:p w14:paraId="4383DD0A" w14:textId="6DAB41FE" w:rsidR="00EF4231" w:rsidRDefault="00EF4231">
            <w:r>
              <w:t>NPSP</w:t>
            </w:r>
          </w:p>
        </w:tc>
        <w:tc>
          <w:tcPr>
            <w:tcW w:w="8095" w:type="dxa"/>
          </w:tcPr>
          <w:p w14:paraId="34C38E51" w14:textId="297E0115" w:rsidR="00EF4231" w:rsidRDefault="00EF4231">
            <w:r>
              <w:t>National Public Service Portal</w:t>
            </w:r>
          </w:p>
        </w:tc>
      </w:tr>
      <w:tr w:rsidR="000016C4" w14:paraId="0E070408" w14:textId="77777777">
        <w:tc>
          <w:tcPr>
            <w:tcW w:w="1255" w:type="dxa"/>
          </w:tcPr>
          <w:p w14:paraId="14526BCD" w14:textId="1B97CBE9" w:rsidR="000016C4" w:rsidRDefault="000016C4">
            <w:r>
              <w:t>OECD</w:t>
            </w:r>
          </w:p>
        </w:tc>
        <w:tc>
          <w:tcPr>
            <w:tcW w:w="8095" w:type="dxa"/>
          </w:tcPr>
          <w:p w14:paraId="38FE476D" w14:textId="2C67758E" w:rsidR="000016C4" w:rsidRDefault="000016C4">
            <w:r>
              <w:t xml:space="preserve">Organization for Economic Cooperation and Development </w:t>
            </w:r>
          </w:p>
        </w:tc>
      </w:tr>
      <w:tr w:rsidR="004E5A72" w14:paraId="797D4C41" w14:textId="77777777">
        <w:tc>
          <w:tcPr>
            <w:tcW w:w="1255" w:type="dxa"/>
          </w:tcPr>
          <w:p w14:paraId="6015FA13" w14:textId="3CEAA556" w:rsidR="004E5A72" w:rsidRDefault="004E5A72">
            <w:r>
              <w:t>OOG</w:t>
            </w:r>
          </w:p>
        </w:tc>
        <w:tc>
          <w:tcPr>
            <w:tcW w:w="8095" w:type="dxa"/>
          </w:tcPr>
          <w:p w14:paraId="4627A1F7" w14:textId="0136D2A4" w:rsidR="004E5A72" w:rsidRDefault="004E5A72">
            <w:r>
              <w:t>Office of Government</w:t>
            </w:r>
          </w:p>
        </w:tc>
      </w:tr>
      <w:tr w:rsidR="0064369C" w14:paraId="0679CEA5" w14:textId="77777777">
        <w:tc>
          <w:tcPr>
            <w:tcW w:w="1255" w:type="dxa"/>
          </w:tcPr>
          <w:p w14:paraId="7D89249C" w14:textId="62066DF5" w:rsidR="0064369C" w:rsidRDefault="0064369C">
            <w:r>
              <w:t>OSS</w:t>
            </w:r>
          </w:p>
        </w:tc>
        <w:tc>
          <w:tcPr>
            <w:tcW w:w="8095" w:type="dxa"/>
          </w:tcPr>
          <w:p w14:paraId="114E5E06" w14:textId="315DC450" w:rsidR="0064369C" w:rsidRDefault="00F62B0B">
            <w:r>
              <w:t>One</w:t>
            </w:r>
            <w:r w:rsidR="0064369C">
              <w:t>-stop shop</w:t>
            </w:r>
          </w:p>
        </w:tc>
      </w:tr>
      <w:tr w:rsidR="0070171A" w14:paraId="418D0D9C" w14:textId="77777777" w:rsidTr="0070171A">
        <w:tc>
          <w:tcPr>
            <w:tcW w:w="1255" w:type="dxa"/>
          </w:tcPr>
          <w:p w14:paraId="4657D7C5" w14:textId="04DBC5FA" w:rsidR="0070171A" w:rsidRDefault="0070171A" w:rsidP="0070171A">
            <w:r>
              <w:t>PCI</w:t>
            </w:r>
          </w:p>
        </w:tc>
        <w:tc>
          <w:tcPr>
            <w:tcW w:w="8095" w:type="dxa"/>
          </w:tcPr>
          <w:p w14:paraId="32FD7C0F" w14:textId="0BD0B61B" w:rsidR="0070171A" w:rsidRDefault="0070171A" w:rsidP="0070171A">
            <w:r>
              <w:t>Provincial Competitiveness Index</w:t>
            </w:r>
          </w:p>
        </w:tc>
      </w:tr>
      <w:tr w:rsidR="00AC34B6" w14:paraId="44981C28" w14:textId="77777777" w:rsidTr="0070171A">
        <w:tc>
          <w:tcPr>
            <w:tcW w:w="1255" w:type="dxa"/>
          </w:tcPr>
          <w:p w14:paraId="640E428A" w14:textId="1A8B4F1C" w:rsidR="00AC34B6" w:rsidRDefault="00AC34B6" w:rsidP="0070171A">
            <w:r>
              <w:t>R&amp;D</w:t>
            </w:r>
          </w:p>
        </w:tc>
        <w:tc>
          <w:tcPr>
            <w:tcW w:w="8095" w:type="dxa"/>
          </w:tcPr>
          <w:p w14:paraId="121B83B3" w14:textId="53AFA7FC" w:rsidR="00AC34B6" w:rsidRDefault="00F62B0B" w:rsidP="0070171A">
            <w:r>
              <w:t xml:space="preserve">Research </w:t>
            </w:r>
            <w:r w:rsidR="00AC34B6">
              <w:t>and development</w:t>
            </w:r>
          </w:p>
        </w:tc>
      </w:tr>
      <w:tr w:rsidR="00022159" w14:paraId="2031E3F0" w14:textId="77777777" w:rsidTr="0070171A">
        <w:tc>
          <w:tcPr>
            <w:tcW w:w="1255" w:type="dxa"/>
          </w:tcPr>
          <w:p w14:paraId="368F4578" w14:textId="62452E49" w:rsidR="00022159" w:rsidRDefault="00022159" w:rsidP="0070171A">
            <w:r>
              <w:t>SOE</w:t>
            </w:r>
          </w:p>
        </w:tc>
        <w:tc>
          <w:tcPr>
            <w:tcW w:w="8095" w:type="dxa"/>
          </w:tcPr>
          <w:p w14:paraId="3168E54F" w14:textId="74AA2B06" w:rsidR="00022159" w:rsidRDefault="00F62B0B" w:rsidP="0070171A">
            <w:r>
              <w:t>State</w:t>
            </w:r>
            <w:r w:rsidR="00022159">
              <w:t>-owned enterprise</w:t>
            </w:r>
          </w:p>
        </w:tc>
      </w:tr>
      <w:tr w:rsidR="0048780D" w14:paraId="09D6D7B3" w14:textId="77777777">
        <w:tc>
          <w:tcPr>
            <w:tcW w:w="1255" w:type="dxa"/>
          </w:tcPr>
          <w:p w14:paraId="04D428DD" w14:textId="77777777" w:rsidR="0048780D" w:rsidRDefault="0048780D">
            <w:r>
              <w:t>TFP</w:t>
            </w:r>
          </w:p>
        </w:tc>
        <w:tc>
          <w:tcPr>
            <w:tcW w:w="8095" w:type="dxa"/>
          </w:tcPr>
          <w:p w14:paraId="5A304BBF" w14:textId="32E66CB0" w:rsidR="0048780D" w:rsidRDefault="00F62B0B">
            <w:r>
              <w:rPr>
                <w:rStyle w:val="normaltextrun"/>
                <w:rFonts w:cstheme="minorHAnsi"/>
              </w:rPr>
              <w:t>T</w:t>
            </w:r>
            <w:r w:rsidRPr="00D05CA9">
              <w:rPr>
                <w:rStyle w:val="normaltextrun"/>
                <w:rFonts w:cstheme="minorHAnsi"/>
              </w:rPr>
              <w:t xml:space="preserve">otal </w:t>
            </w:r>
            <w:r w:rsidR="0048780D" w:rsidRPr="00D05CA9">
              <w:rPr>
                <w:rStyle w:val="normaltextrun"/>
                <w:rFonts w:cstheme="minorHAnsi"/>
              </w:rPr>
              <w:t>factor productivity</w:t>
            </w:r>
          </w:p>
        </w:tc>
      </w:tr>
      <w:tr w:rsidR="0064369C" w14:paraId="4434A96C" w14:textId="77777777">
        <w:tc>
          <w:tcPr>
            <w:tcW w:w="1255" w:type="dxa"/>
          </w:tcPr>
          <w:p w14:paraId="25CB6A9C" w14:textId="55ADAECC" w:rsidR="0064369C" w:rsidRDefault="00B031EF">
            <w:r>
              <w:t>VCCI</w:t>
            </w:r>
          </w:p>
        </w:tc>
        <w:tc>
          <w:tcPr>
            <w:tcW w:w="8095" w:type="dxa"/>
          </w:tcPr>
          <w:p w14:paraId="07C5A417" w14:textId="6F6D044B" w:rsidR="0064369C" w:rsidRPr="00D05CA9" w:rsidRDefault="00B031EF">
            <w:pPr>
              <w:rPr>
                <w:rStyle w:val="normaltextrun"/>
                <w:rFonts w:cstheme="minorHAnsi"/>
              </w:rPr>
            </w:pPr>
            <w:r>
              <w:rPr>
                <w:rStyle w:val="normaltextrun"/>
                <w:rFonts w:cstheme="minorHAnsi"/>
              </w:rPr>
              <w:t>Viet Nam Chamber of Commerce and Industry</w:t>
            </w:r>
          </w:p>
        </w:tc>
      </w:tr>
      <w:tr w:rsidR="0048780D" w14:paraId="404DB9E5" w14:textId="77777777">
        <w:tc>
          <w:tcPr>
            <w:tcW w:w="1255" w:type="dxa"/>
          </w:tcPr>
          <w:p w14:paraId="121DA46E" w14:textId="77777777" w:rsidR="0048780D" w:rsidRDefault="0048780D">
            <w:r>
              <w:t>WBES</w:t>
            </w:r>
          </w:p>
        </w:tc>
        <w:tc>
          <w:tcPr>
            <w:tcW w:w="8095" w:type="dxa"/>
          </w:tcPr>
          <w:p w14:paraId="1639BE7F" w14:textId="77777777" w:rsidR="0048780D" w:rsidRDefault="0048780D">
            <w:r>
              <w:t>World Bank Enterprise Survey</w:t>
            </w:r>
          </w:p>
        </w:tc>
      </w:tr>
    </w:tbl>
    <w:p w14:paraId="398F8CF1" w14:textId="77777777" w:rsidR="00995FFF" w:rsidRDefault="00995FFF" w:rsidP="00995FFF"/>
    <w:p w14:paraId="5919A5A0" w14:textId="77777777" w:rsidR="00907DC4" w:rsidRDefault="00907DC4">
      <w:pPr>
        <w:rPr>
          <w:rFonts w:asciiTheme="majorHAnsi" w:eastAsiaTheme="majorEastAsia" w:hAnsiTheme="majorHAnsi" w:cstheme="majorBidi"/>
          <w:color w:val="2F5496" w:themeColor="accent1" w:themeShade="BF"/>
          <w:sz w:val="32"/>
          <w:szCs w:val="32"/>
        </w:rPr>
      </w:pPr>
      <w:r>
        <w:br w:type="page"/>
      </w:r>
    </w:p>
    <w:p w14:paraId="496C9372" w14:textId="550C19C0" w:rsidR="00AB3DF9" w:rsidRDefault="000E6315" w:rsidP="00AB3DF9">
      <w:pPr>
        <w:pStyle w:val="Heading1"/>
        <w:numPr>
          <w:ilvl w:val="0"/>
          <w:numId w:val="0"/>
        </w:numPr>
      </w:pPr>
      <w:bookmarkStart w:id="5" w:name="_Toc175228077"/>
      <w:r w:rsidRPr="00C27879">
        <w:rPr>
          <w:rFonts w:asciiTheme="minorHAnsi" w:hAnsiTheme="minorHAnsi" w:cstheme="minorHAnsi"/>
        </w:rPr>
        <w:lastRenderedPageBreak/>
        <w:t>Executive</w:t>
      </w:r>
      <w:r>
        <w:t xml:space="preserve"> Summary</w:t>
      </w:r>
      <w:bookmarkEnd w:id="5"/>
    </w:p>
    <w:p w14:paraId="081FFF35" w14:textId="77777777" w:rsidR="00AB3DF9" w:rsidRDefault="00AB3DF9" w:rsidP="00AB3DF9"/>
    <w:p w14:paraId="483838F1" w14:textId="19738641" w:rsidR="0041246A" w:rsidRDefault="00D5581B" w:rsidP="002617A9">
      <w:r w:rsidRPr="00D5581B">
        <w:rPr>
          <w:b/>
          <w:bCs/>
        </w:rPr>
        <w:t xml:space="preserve">To achieve high-income status by 2045, Viet Nam must accelerate regulatory reforms to boost productivity. </w:t>
      </w:r>
      <w:r w:rsidR="004C31E0" w:rsidRPr="00C27879">
        <w:t>Viet Nam</w:t>
      </w:r>
      <w:r w:rsidR="0047015E">
        <w:t xml:space="preserve">’s </w:t>
      </w:r>
      <w:r w:rsidR="00A70EB6">
        <w:t xml:space="preserve">stellar </w:t>
      </w:r>
      <w:r w:rsidR="0047015E">
        <w:t>economic success story</w:t>
      </w:r>
      <w:r w:rsidR="004C31E0" w:rsidRPr="00C27879">
        <w:t xml:space="preserve"> over the last 30 years </w:t>
      </w:r>
      <w:r w:rsidR="0047015E">
        <w:t xml:space="preserve">relied on </w:t>
      </w:r>
      <w:r w:rsidR="00AD2032">
        <w:t>export-oriented</w:t>
      </w:r>
      <w:r w:rsidR="002200C8">
        <w:t xml:space="preserve"> </w:t>
      </w:r>
      <w:r w:rsidR="00E64735">
        <w:t>foreign direct investment</w:t>
      </w:r>
      <w:r w:rsidR="00AD2032">
        <w:t xml:space="preserve"> (FDI), but reaching high</w:t>
      </w:r>
      <w:r w:rsidR="00CC1649">
        <w:t>-</w:t>
      </w:r>
      <w:r w:rsidR="00AD2032">
        <w:t>income status requires accelerating productivity growth</w:t>
      </w:r>
      <w:r w:rsidR="004C31E0" w:rsidRPr="00C27879">
        <w:t>.</w:t>
      </w:r>
      <w:r w:rsidR="004C31E0" w:rsidRPr="004C31E0">
        <w:rPr>
          <w:b/>
          <w:bCs/>
        </w:rPr>
        <w:t xml:space="preserve"> </w:t>
      </w:r>
      <w:r w:rsidR="0003357C" w:rsidRPr="00D64CD6">
        <w:t>Firm level analysis point</w:t>
      </w:r>
      <w:r w:rsidR="008D7C24">
        <w:t>s</w:t>
      </w:r>
      <w:r w:rsidR="0003357C" w:rsidRPr="00D64CD6">
        <w:t xml:space="preserve"> to</w:t>
      </w:r>
      <w:r w:rsidR="0003357C">
        <w:rPr>
          <w:b/>
          <w:bCs/>
        </w:rPr>
        <w:t xml:space="preserve"> </w:t>
      </w:r>
      <w:r w:rsidR="008D7C24" w:rsidRPr="00D64CD6">
        <w:t>misallocation</w:t>
      </w:r>
      <w:r w:rsidR="009F7BA7">
        <w:t xml:space="preserve"> as a </w:t>
      </w:r>
      <w:r w:rsidR="00D32297">
        <w:t xml:space="preserve">critical </w:t>
      </w:r>
      <w:r w:rsidR="009F7BA7">
        <w:t>constraint to productivity growth in Viet Nam.</w:t>
      </w:r>
      <w:r w:rsidR="008D7C24" w:rsidRPr="00D64CD6">
        <w:t xml:space="preserve"> </w:t>
      </w:r>
      <w:r w:rsidR="0041246A" w:rsidRPr="0041246A">
        <w:t>Regulatory reform</w:t>
      </w:r>
      <w:r w:rsidR="007F73EF">
        <w:t>s</w:t>
      </w:r>
      <w:r w:rsidR="0041246A" w:rsidRPr="0041246A">
        <w:t xml:space="preserve"> can </w:t>
      </w:r>
      <w:r w:rsidR="009F7BA7" w:rsidRPr="0041246A">
        <w:t>create favorable conditions for reallocation of resources from less productive firms to more productive ones</w:t>
      </w:r>
      <w:r w:rsidR="00DF3636">
        <w:t>.</w:t>
      </w:r>
      <w:r w:rsidR="009F7BA7" w:rsidRPr="0041246A">
        <w:t xml:space="preserve"> </w:t>
      </w:r>
      <w:r w:rsidR="007F73EF">
        <w:t>They</w:t>
      </w:r>
      <w:r w:rsidR="0041246A" w:rsidRPr="0041246A">
        <w:t xml:space="preserve"> can also</w:t>
      </w:r>
      <w:r w:rsidR="00AC47F5">
        <w:t xml:space="preserve"> </w:t>
      </w:r>
      <w:r w:rsidR="00DF3636" w:rsidRPr="0041246A">
        <w:t xml:space="preserve">reduce costs and </w:t>
      </w:r>
      <w:r w:rsidR="00DF3636">
        <w:t xml:space="preserve">lower </w:t>
      </w:r>
      <w:r w:rsidR="00DF3636" w:rsidRPr="0041246A">
        <w:t xml:space="preserve">risks </w:t>
      </w:r>
      <w:r w:rsidR="00DF3636">
        <w:t>for</w:t>
      </w:r>
      <w:r w:rsidR="00DF3636" w:rsidRPr="0041246A">
        <w:t xml:space="preserve"> business</w:t>
      </w:r>
      <w:r w:rsidR="00DF3636">
        <w:t>es</w:t>
      </w:r>
      <w:r w:rsidR="00DF3636" w:rsidRPr="0041246A">
        <w:t xml:space="preserve"> and promote firms’ investment </w:t>
      </w:r>
      <w:r w:rsidR="00DF3636">
        <w:t>and</w:t>
      </w:r>
      <w:r w:rsidR="00DF3636" w:rsidRPr="0041246A">
        <w:t xml:space="preserve"> productivity </w:t>
      </w:r>
      <w:r w:rsidR="00DF3636">
        <w:t xml:space="preserve">growth. </w:t>
      </w:r>
      <w:r w:rsidR="00AC47F5">
        <w:t>Finally</w:t>
      </w:r>
      <w:r w:rsidR="008010F2">
        <w:t>,</w:t>
      </w:r>
      <w:r w:rsidR="0041246A" w:rsidRPr="0041246A">
        <w:t xml:space="preserve"> </w:t>
      </w:r>
      <w:r w:rsidR="007F73EF">
        <w:t xml:space="preserve">they </w:t>
      </w:r>
      <w:r w:rsidR="0041246A" w:rsidRPr="0041246A">
        <w:t>can promote entry of new domestic and foreign firms, especially innovative, tech-based</w:t>
      </w:r>
      <w:r w:rsidR="00214F54">
        <w:t>, green,</w:t>
      </w:r>
      <w:r w:rsidR="0041246A" w:rsidRPr="0041246A">
        <w:t xml:space="preserve"> and high-productivity firms, and exit of low-productivity ones</w:t>
      </w:r>
      <w:r w:rsidR="00040C7F">
        <w:t xml:space="preserve"> as part of a </w:t>
      </w:r>
      <w:r w:rsidR="0041246A" w:rsidRPr="0041246A">
        <w:t>“creative destruction”</w:t>
      </w:r>
      <w:r w:rsidR="00DC69AD">
        <w:t xml:space="preserve"> process</w:t>
      </w:r>
      <w:r w:rsidR="0041246A" w:rsidRPr="0041246A">
        <w:t>.</w:t>
      </w:r>
      <w:r w:rsidR="00874D94" w:rsidRPr="00874D94">
        <w:rPr>
          <w:rStyle w:val="FootnoteReference"/>
        </w:rPr>
        <w:t xml:space="preserve"> </w:t>
      </w:r>
      <w:r w:rsidR="00874D94">
        <w:rPr>
          <w:rStyle w:val="FootnoteReference"/>
        </w:rPr>
        <w:footnoteReference w:id="2"/>
      </w:r>
      <w:r w:rsidR="0075759A">
        <w:t xml:space="preserve"> </w:t>
      </w:r>
    </w:p>
    <w:p w14:paraId="1FFED45F" w14:textId="213E9A77" w:rsidR="0051592E" w:rsidRPr="00864B9A" w:rsidRDefault="00A66171" w:rsidP="00864B9A">
      <w:pPr>
        <w:jc w:val="both"/>
        <w:rPr>
          <w:rFonts w:cstheme="minorHAnsi"/>
        </w:rPr>
      </w:pPr>
      <w:r w:rsidRPr="00C27879">
        <w:rPr>
          <w:rFonts w:eastAsia="Times New Roman" w:cstheme="minorHAnsi"/>
          <w:b/>
        </w:rPr>
        <w:t xml:space="preserve">Viet Nam’s regulatory reform efforts have achieved noticeable progress in streamlining business regulations and improving regulatory quality. </w:t>
      </w:r>
      <w:r w:rsidRPr="00C27879">
        <w:rPr>
          <w:rFonts w:eastAsia="Times New Roman" w:cstheme="minorHAnsi"/>
        </w:rPr>
        <w:t>According to the World Bank Governance Indicators, Viet Nam's Regulatory Quality has made a remarkable improvement over the last two decades.</w:t>
      </w:r>
      <w:r w:rsidR="000E5381" w:rsidRPr="00864B9A">
        <w:rPr>
          <w:rStyle w:val="FootnoteReference"/>
          <w:rFonts w:cstheme="minorHAnsi"/>
        </w:rPr>
        <w:footnoteReference w:id="3"/>
      </w:r>
      <w:r w:rsidR="000E5381" w:rsidRPr="00C27879">
        <w:rPr>
          <w:rFonts w:eastAsia="Times New Roman" w:cstheme="minorHAnsi"/>
        </w:rPr>
        <w:t xml:space="preserve"> </w:t>
      </w:r>
      <w:r w:rsidRPr="00C27879">
        <w:rPr>
          <w:rFonts w:eastAsia="Times New Roman" w:cstheme="minorHAnsi"/>
        </w:rPr>
        <w:t xml:space="preserve"> </w:t>
      </w:r>
      <w:r w:rsidR="0051592E" w:rsidRPr="00864B9A">
        <w:rPr>
          <w:rFonts w:cstheme="minorHAnsi"/>
        </w:rPr>
        <w:t xml:space="preserve">The percentage of firms spending more than 10 percent of their time on understanding and completing administrative procedures has been declining </w:t>
      </w:r>
      <w:r w:rsidR="00864B9A" w:rsidRPr="00864B9A">
        <w:rPr>
          <w:rFonts w:cstheme="minorHAnsi"/>
        </w:rPr>
        <w:t>continuously</w:t>
      </w:r>
      <w:r w:rsidR="0051592E" w:rsidRPr="00864B9A">
        <w:rPr>
          <w:rFonts w:cstheme="minorHAnsi"/>
        </w:rPr>
        <w:t xml:space="preserve"> in recent years.</w:t>
      </w:r>
      <w:r w:rsidR="00864B9A">
        <w:rPr>
          <w:rStyle w:val="FootnoteReference"/>
          <w:rFonts w:cstheme="minorHAnsi"/>
        </w:rPr>
        <w:footnoteReference w:id="4"/>
      </w:r>
      <w:r w:rsidR="0051592E" w:rsidRPr="00864B9A">
        <w:rPr>
          <w:rFonts w:cstheme="minorHAnsi"/>
        </w:rPr>
        <w:t xml:space="preserve"> </w:t>
      </w:r>
    </w:p>
    <w:p w14:paraId="47460F8C" w14:textId="79B89707" w:rsidR="00A66171" w:rsidRPr="00C27879" w:rsidRDefault="00A66171" w:rsidP="00C27879">
      <w:pPr>
        <w:jc w:val="both"/>
      </w:pPr>
      <w:r w:rsidRPr="00C27879">
        <w:rPr>
          <w:b/>
          <w:bCs/>
        </w:rPr>
        <w:t xml:space="preserve">However, firm-level analysis and international benchmarking suggest that there’s still room to improve regulatory quality </w:t>
      </w:r>
      <w:r w:rsidR="00AC3E00">
        <w:rPr>
          <w:b/>
          <w:bCs/>
        </w:rPr>
        <w:t xml:space="preserve">and </w:t>
      </w:r>
      <w:r w:rsidRPr="00C27879">
        <w:rPr>
          <w:b/>
          <w:bCs/>
        </w:rPr>
        <w:t xml:space="preserve">that improvement in regulatory quality and delivery can promote productivity growth in Viet Nam. </w:t>
      </w:r>
      <w:r w:rsidRPr="00C27879">
        <w:t>Almost two thirds of startups cite business regulations as a challenge.</w:t>
      </w:r>
      <w:r w:rsidR="00864B9A">
        <w:rPr>
          <w:rStyle w:val="FootnoteReference"/>
        </w:rPr>
        <w:footnoteReference w:id="5"/>
      </w:r>
      <w:r w:rsidRPr="00C27879">
        <w:t xml:space="preserve"> Despite improvement, Viet Nam's Regulatory Quality score is still lower than some regional peers.</w:t>
      </w:r>
      <w:r w:rsidR="00C3621A">
        <w:rPr>
          <w:rStyle w:val="FootnoteReference"/>
        </w:rPr>
        <w:footnoteReference w:id="6"/>
      </w:r>
      <w:r w:rsidR="00C3621A">
        <w:t xml:space="preserve"> </w:t>
      </w:r>
      <w:r w:rsidRPr="00C27879">
        <w:t xml:space="preserve"> Data analysis suggests that licensing regulations and inconsistent public services delivery are barriers to market entry and innovation, affecting competition and firm growth. For instance, obtaining construction permits and import licenses in Viet Nam is more time-consuming and is characterized by more uncertainty than in Cambodia, and restrictive FDI regulations can limit investment in key service sectors.</w:t>
      </w:r>
      <w:r w:rsidR="00A60B12" w:rsidRPr="00A60B12">
        <w:t xml:space="preserve"> </w:t>
      </w:r>
      <w:r w:rsidR="00A60B12">
        <w:t>To accelerate progress, r</w:t>
      </w:r>
      <w:r w:rsidR="00A60B12" w:rsidRPr="00925C0B">
        <w:t>egulatory reform is a critical part of Viet Nam's broader institutional reform agenda for 2021-2030.</w:t>
      </w:r>
    </w:p>
    <w:p w14:paraId="74761723" w14:textId="0C9C9C81" w:rsidR="009826C1" w:rsidRDefault="009826C1" w:rsidP="009826C1">
      <w:pPr>
        <w:jc w:val="both"/>
      </w:pPr>
      <w:r>
        <w:rPr>
          <w:b/>
          <w:bCs/>
        </w:rPr>
        <w:t>Th</w:t>
      </w:r>
      <w:r w:rsidR="00823462">
        <w:rPr>
          <w:b/>
          <w:bCs/>
        </w:rPr>
        <w:t xml:space="preserve">e objective of this </w:t>
      </w:r>
      <w:r>
        <w:rPr>
          <w:b/>
          <w:bCs/>
        </w:rPr>
        <w:t xml:space="preserve">report </w:t>
      </w:r>
      <w:r w:rsidR="00823462">
        <w:rPr>
          <w:b/>
          <w:bCs/>
        </w:rPr>
        <w:t xml:space="preserve">is to </w:t>
      </w:r>
      <w:r w:rsidR="000A1E7C" w:rsidRPr="009826C1">
        <w:rPr>
          <w:b/>
          <w:bCs/>
        </w:rPr>
        <w:t>asses</w:t>
      </w:r>
      <w:r w:rsidR="00823462">
        <w:rPr>
          <w:b/>
          <w:bCs/>
        </w:rPr>
        <w:t>s</w:t>
      </w:r>
      <w:r w:rsidRPr="009826C1">
        <w:rPr>
          <w:b/>
          <w:bCs/>
        </w:rPr>
        <w:t xml:space="preserve"> the implementation progress at mid-term of Viet Nam’s program to reform business regulations </w:t>
      </w:r>
      <w:r>
        <w:rPr>
          <w:b/>
          <w:bCs/>
        </w:rPr>
        <w:t>between 2020-2025—</w:t>
      </w:r>
      <w:r w:rsidRPr="00745DAF">
        <w:t>governed by Resolution 68/NQ-CP of May 12, 2020</w:t>
      </w:r>
      <w:r w:rsidRPr="009826C1">
        <w:rPr>
          <w:b/>
          <w:bCs/>
        </w:rPr>
        <w:t>.</w:t>
      </w:r>
      <w:r w:rsidRPr="00860F86">
        <w:t xml:space="preserve"> The report identifies areas for improvement to achieve its objectives in the short term and </w:t>
      </w:r>
      <w:r w:rsidR="00B91DE4">
        <w:t xml:space="preserve">share policy recommendations on how </w:t>
      </w:r>
      <w:r w:rsidRPr="00860F86">
        <w:t>to continue developing the regulatory environment conducive to business dynamism and productivity growth in Viet Nam in the medium term.</w:t>
      </w:r>
    </w:p>
    <w:p w14:paraId="29A5984F" w14:textId="654BC89B" w:rsidR="00002E40" w:rsidRDefault="00002E40" w:rsidP="00002E40">
      <w:pPr>
        <w:jc w:val="both"/>
        <w:rPr>
          <w:color w:val="000000"/>
          <w14:ligatures w14:val="standardContextual"/>
        </w:rPr>
      </w:pPr>
      <w:r w:rsidRPr="6E051630">
        <w:rPr>
          <w:b/>
          <w:bCs/>
        </w:rPr>
        <w:lastRenderedPageBreak/>
        <w:t>The regulatory reform program under Resolution 68</w:t>
      </w:r>
      <w:r>
        <w:rPr>
          <w:b/>
          <w:bCs/>
        </w:rPr>
        <w:t xml:space="preserve"> </w:t>
      </w:r>
      <w:r w:rsidRPr="6E051630">
        <w:rPr>
          <w:b/>
          <w:bCs/>
        </w:rPr>
        <w:t xml:space="preserve">builds on </w:t>
      </w:r>
      <w:r w:rsidR="000A4963">
        <w:rPr>
          <w:b/>
          <w:bCs/>
        </w:rPr>
        <w:t xml:space="preserve">successful </w:t>
      </w:r>
      <w:r w:rsidRPr="6E051630">
        <w:rPr>
          <w:b/>
          <w:bCs/>
        </w:rPr>
        <w:t>regulatory simplification initiatives</w:t>
      </w:r>
      <w:r>
        <w:t xml:space="preserve"> </w:t>
      </w:r>
      <w:r w:rsidRPr="6E051630">
        <w:rPr>
          <w:b/>
          <w:bCs/>
        </w:rPr>
        <w:t>over the last three decades.</w:t>
      </w:r>
      <w:r>
        <w:t xml:space="preserve"> The approach outlined in Resolution 68 is inspired by the most </w:t>
      </w:r>
      <w:r w:rsidR="003F7C41">
        <w:t xml:space="preserve">effective </w:t>
      </w:r>
      <w:r>
        <w:t xml:space="preserve">of these programs, Project 30 (2007-2010), which reviewed over 6,000 administrative procedures and streamlined them. The Administrative Procedure Control Agency (APCA) in the Office of Government (OOG) was also set up in the context of Project 30 as the main entity overseeing regulatory reform in Viet Nam. Resolution 68 sets targets to simplify or reduce business regulations and cut compliance costs by 20 percent during 2020-2025. </w:t>
      </w:r>
    </w:p>
    <w:p w14:paraId="3DD9699A" w14:textId="4AAC85BC" w:rsidR="005E6CED" w:rsidRPr="00925C0B" w:rsidRDefault="005E6CED" w:rsidP="00AA6635">
      <w:pPr>
        <w:jc w:val="both"/>
      </w:pPr>
      <w:r w:rsidRPr="005E6CED">
        <w:rPr>
          <w:b/>
          <w:bCs/>
        </w:rPr>
        <w:t xml:space="preserve">Resolution 68 led to </w:t>
      </w:r>
      <w:r w:rsidR="00131E91">
        <w:rPr>
          <w:b/>
          <w:bCs/>
        </w:rPr>
        <w:t>noticeable</w:t>
      </w:r>
      <w:r w:rsidRPr="005E6CED">
        <w:rPr>
          <w:b/>
          <w:bCs/>
        </w:rPr>
        <w:t xml:space="preserve"> mid-term achievements in streamlining business regulations, with 2,789 regulations simplified or reduced by December 2023. </w:t>
      </w:r>
      <w:r w:rsidRPr="00925C0B">
        <w:t xml:space="preserve">However, </w:t>
      </w:r>
      <w:r w:rsidR="00C365B7">
        <w:t xml:space="preserve">paucity of data </w:t>
      </w:r>
      <w:r w:rsidR="000D45F1" w:rsidRPr="00925C0B">
        <w:t>complicates the precise evaluation of this progress</w:t>
      </w:r>
      <w:r w:rsidR="005772A9">
        <w:t>.</w:t>
      </w:r>
      <w:r w:rsidR="000D45F1" w:rsidRPr="00925C0B">
        <w:t xml:space="preserve"> </w:t>
      </w:r>
      <w:r w:rsidR="009D19C8" w:rsidRPr="00925C0B">
        <w:t>COVID-19</w:t>
      </w:r>
      <w:r w:rsidR="009D19C8">
        <w:t xml:space="preserve"> </w:t>
      </w:r>
      <w:r w:rsidR="00CC3615">
        <w:t xml:space="preserve">could have </w:t>
      </w:r>
      <w:r w:rsidR="00201B6D">
        <w:t>hindered</w:t>
      </w:r>
      <w:r w:rsidR="009D19C8">
        <w:t xml:space="preserve"> the establishment of a </w:t>
      </w:r>
      <w:r w:rsidRPr="00925C0B">
        <w:t xml:space="preserve">baseline </w:t>
      </w:r>
      <w:r w:rsidR="005772A9">
        <w:t>o</w:t>
      </w:r>
      <w:r w:rsidR="009D19C8">
        <w:t xml:space="preserve">f </w:t>
      </w:r>
      <w:r w:rsidR="005772A9">
        <w:t xml:space="preserve">the total number of regulations </w:t>
      </w:r>
      <w:r w:rsidRPr="00925C0B">
        <w:t>as of May 31, 2020</w:t>
      </w:r>
      <w:r w:rsidR="00FE587D">
        <w:t xml:space="preserve">, </w:t>
      </w:r>
      <w:r w:rsidR="00572639">
        <w:t xml:space="preserve">which prevents an accurate </w:t>
      </w:r>
      <w:r w:rsidR="00BB0F9B">
        <w:t xml:space="preserve">assessment of the target to </w:t>
      </w:r>
      <w:r w:rsidR="000A3D64">
        <w:t>simplify r</w:t>
      </w:r>
      <w:r w:rsidR="00C461E3">
        <w:t>egulations by 20 percent</w:t>
      </w:r>
      <w:r w:rsidRPr="00925C0B">
        <w:t xml:space="preserve">. Estimates </w:t>
      </w:r>
      <w:r w:rsidR="00AA65FD">
        <w:t xml:space="preserve">based on a proxy </w:t>
      </w:r>
      <w:r w:rsidR="00724756">
        <w:t>baseline—the number of existing regulations in the Business Regulation Consultation and Query portal</w:t>
      </w:r>
      <w:r w:rsidR="002843FB">
        <w:t xml:space="preserve"> as of January 2024</w:t>
      </w:r>
      <w:r w:rsidR="00724756">
        <w:t>—</w:t>
      </w:r>
      <w:r w:rsidRPr="00925C0B">
        <w:t xml:space="preserve">suggest that around 22 percent of regulations have been simplified, surpassing Resolution 68's goal. Nonetheless, without comprehensive data, </w:t>
      </w:r>
      <w:r w:rsidR="002E4DB1">
        <w:t>it is not possible</w:t>
      </w:r>
      <w:r w:rsidRPr="00925C0B">
        <w:t xml:space="preserve"> to confirm if there has been a 20 percent reduction in compliance costs</w:t>
      </w:r>
      <w:r w:rsidR="00C56BBB">
        <w:t>, and there are no other measures of the impact of the simplification</w:t>
      </w:r>
      <w:r w:rsidRPr="00925C0B">
        <w:t xml:space="preserve">. </w:t>
      </w:r>
    </w:p>
    <w:p w14:paraId="3C5DF53F" w14:textId="2D4B453C" w:rsidR="00D819CC" w:rsidRDefault="003B38C5" w:rsidP="00AA6635">
      <w:pPr>
        <w:jc w:val="both"/>
        <w:rPr>
          <w:color w:val="000000"/>
          <w14:ligatures w14:val="standardContextual"/>
        </w:rPr>
      </w:pPr>
      <w:r w:rsidRPr="15E5BA73">
        <w:rPr>
          <w:b/>
          <w:bCs/>
        </w:rPr>
        <w:t>R</w:t>
      </w:r>
      <w:r w:rsidRPr="00186F51">
        <w:rPr>
          <w:b/>
          <w:bCs/>
        </w:rPr>
        <w:t xml:space="preserve">esolution 68 </w:t>
      </w:r>
      <w:r w:rsidR="002E6CB7">
        <w:rPr>
          <w:b/>
          <w:bCs/>
        </w:rPr>
        <w:t>adopts</w:t>
      </w:r>
      <w:r w:rsidR="002E6CB7" w:rsidRPr="00186F51">
        <w:rPr>
          <w:b/>
          <w:bCs/>
        </w:rPr>
        <w:t xml:space="preserve"> </w:t>
      </w:r>
      <w:r w:rsidRPr="00186F51">
        <w:rPr>
          <w:b/>
          <w:bCs/>
        </w:rPr>
        <w:t xml:space="preserve">a </w:t>
      </w:r>
      <w:r w:rsidR="00D35CB4">
        <w:rPr>
          <w:b/>
          <w:bCs/>
        </w:rPr>
        <w:t>government-wide</w:t>
      </w:r>
      <w:r w:rsidRPr="00186F51">
        <w:rPr>
          <w:b/>
          <w:bCs/>
        </w:rPr>
        <w:t xml:space="preserve"> approach</w:t>
      </w:r>
      <w:r>
        <w:rPr>
          <w:b/>
          <w:bCs/>
        </w:rPr>
        <w:t xml:space="preserve">, </w:t>
      </w:r>
      <w:r w:rsidR="002E6CB7">
        <w:rPr>
          <w:b/>
          <w:bCs/>
        </w:rPr>
        <w:t>with ministries proposing regulat</w:t>
      </w:r>
      <w:r w:rsidR="005B6EAD">
        <w:rPr>
          <w:b/>
          <w:bCs/>
        </w:rPr>
        <w:t xml:space="preserve">ions </w:t>
      </w:r>
      <w:r>
        <w:rPr>
          <w:b/>
          <w:bCs/>
        </w:rPr>
        <w:t>for simplification</w:t>
      </w:r>
      <w:r w:rsidRPr="00186F51">
        <w:rPr>
          <w:b/>
          <w:bCs/>
        </w:rPr>
        <w:t>.</w:t>
      </w:r>
      <w:r>
        <w:t xml:space="preserve"> </w:t>
      </w:r>
      <w:r w:rsidR="00323AB1">
        <w:t xml:space="preserve">Having a comprehensive approach </w:t>
      </w:r>
      <w:r>
        <w:t xml:space="preserve">in ex-post reviews of regulation </w:t>
      </w:r>
      <w:r w:rsidR="00D216DD">
        <w:t>can help</w:t>
      </w:r>
      <w:r>
        <w:t xml:space="preserve"> reduce administrative burden across sectors and mainstream better regulatory practices in the government.</w:t>
      </w:r>
      <w:r>
        <w:rPr>
          <w:rStyle w:val="FootnoteReference"/>
        </w:rPr>
        <w:footnoteReference w:id="7"/>
      </w:r>
      <w:r>
        <w:t xml:space="preserve"> </w:t>
      </w:r>
      <w:r w:rsidR="00D962DC">
        <w:t xml:space="preserve">In the case of Viet Nam, the </w:t>
      </w:r>
      <w:r w:rsidR="00D24C38">
        <w:t>i</w:t>
      </w:r>
      <w:r w:rsidR="00782ACD">
        <w:t>dentification of regulations for simplification</w:t>
      </w:r>
      <w:r w:rsidR="00782ACD" w:rsidRPr="00925C0B">
        <w:t xml:space="preserve"> is </w:t>
      </w:r>
      <w:r w:rsidR="00FF306D">
        <w:t xml:space="preserve">largely </w:t>
      </w:r>
      <w:r w:rsidR="00782ACD" w:rsidRPr="00925C0B">
        <w:t xml:space="preserve">'bottom up', with ministries </w:t>
      </w:r>
      <w:r w:rsidR="00601D7A">
        <w:t>making proposals based on their review</w:t>
      </w:r>
      <w:r w:rsidR="002B6959">
        <w:t>, in combination with the Prime Minister’s direction</w:t>
      </w:r>
      <w:r w:rsidR="00D962DC">
        <w:t xml:space="preserve">. </w:t>
      </w:r>
      <w:r w:rsidR="003C4139">
        <w:t>However</w:t>
      </w:r>
      <w:r w:rsidR="00782ACD" w:rsidRPr="00925C0B">
        <w:t xml:space="preserve">, without </w:t>
      </w:r>
      <w:r w:rsidR="00B91D19">
        <w:t xml:space="preserve">clear criteria for </w:t>
      </w:r>
      <w:r w:rsidR="003C4139">
        <w:t>prioritization</w:t>
      </w:r>
      <w:r w:rsidR="003C0433">
        <w:t xml:space="preserve">, such as </w:t>
      </w:r>
      <w:r w:rsidR="00782ACD" w:rsidRPr="00925C0B">
        <w:t>focusing on specific sectors</w:t>
      </w:r>
      <w:r w:rsidR="00601D7A">
        <w:t xml:space="preserve"> or </w:t>
      </w:r>
      <w:r w:rsidR="008C5A51">
        <w:t>regulatory domains</w:t>
      </w:r>
      <w:r w:rsidR="00782ACD" w:rsidRPr="00925C0B">
        <w:t xml:space="preserve">, </w:t>
      </w:r>
      <w:r w:rsidR="008B4848">
        <w:t>this can lead</w:t>
      </w:r>
      <w:r w:rsidR="008B4848" w:rsidRPr="00925C0B">
        <w:t xml:space="preserve"> </w:t>
      </w:r>
      <w:r w:rsidR="00782ACD" w:rsidRPr="00925C0B">
        <w:t xml:space="preserve">to a potentially scattered impact. </w:t>
      </w:r>
      <w:r w:rsidR="00386993">
        <w:t>Instead,</w:t>
      </w:r>
      <w:r w:rsidR="00D95DE2">
        <w:t xml:space="preserve"> reform efforts </w:t>
      </w:r>
      <w:r w:rsidR="00386993">
        <w:t xml:space="preserve">could </w:t>
      </w:r>
      <w:r w:rsidR="00D95DE2">
        <w:t xml:space="preserve">concentrate on more binding regulations </w:t>
      </w:r>
      <w:r w:rsidR="009256B7">
        <w:t>and more strategic industries that are important for Viet Nam</w:t>
      </w:r>
      <w:r w:rsidR="003E685C">
        <w:t>’s</w:t>
      </w:r>
      <w:r w:rsidR="009256B7">
        <w:t xml:space="preserve"> growth</w:t>
      </w:r>
      <w:r w:rsidR="003E685C">
        <w:t xml:space="preserve"> strategies such as electronics or </w:t>
      </w:r>
      <w:r w:rsidR="00C125DC">
        <w:t>renewable energy.</w:t>
      </w:r>
    </w:p>
    <w:p w14:paraId="2D582A5B" w14:textId="57936B97" w:rsidR="009A4C8B" w:rsidRDefault="00B0443D" w:rsidP="00AA6635">
      <w:pPr>
        <w:jc w:val="both"/>
      </w:pPr>
      <w:r>
        <w:rPr>
          <w:b/>
          <w:bCs/>
        </w:rPr>
        <w:t xml:space="preserve">Despite the simplification efforts, a high number of </w:t>
      </w:r>
      <w:r w:rsidR="00C868DD">
        <w:rPr>
          <w:b/>
          <w:bCs/>
        </w:rPr>
        <w:t>ex-ante authorizations, l</w:t>
      </w:r>
      <w:r w:rsidR="006B4B1F" w:rsidRPr="00C71E53">
        <w:rPr>
          <w:b/>
          <w:bCs/>
        </w:rPr>
        <w:t xml:space="preserve">imited use of risk-based licensing and inspections, and inconsistent terminology across ministries hinder regulatory coherence. </w:t>
      </w:r>
      <w:r w:rsidR="006B4B1F" w:rsidRPr="00925C0B">
        <w:t>While some risk-based differentiation exists, such as self-declarations for packaged foods, it is often narrow and not up to international standards.</w:t>
      </w:r>
      <w:r w:rsidR="006B4B1F">
        <w:rPr>
          <w:b/>
          <w:bCs/>
        </w:rPr>
        <w:t xml:space="preserve"> </w:t>
      </w:r>
      <w:r w:rsidR="00A14008">
        <w:t>T</w:t>
      </w:r>
      <w:r w:rsidR="00052799" w:rsidRPr="007761DC">
        <w:t xml:space="preserve">he preliminary </w:t>
      </w:r>
      <w:r w:rsidR="00052799">
        <w:t xml:space="preserve">assessment of licensing regulations </w:t>
      </w:r>
      <w:r w:rsidR="00052799" w:rsidRPr="007761DC">
        <w:t xml:space="preserve">identified </w:t>
      </w:r>
      <w:r w:rsidR="00C724F1">
        <w:t>multiple</w:t>
      </w:r>
      <w:r w:rsidR="00052799" w:rsidRPr="007761DC">
        <w:t xml:space="preserve"> </w:t>
      </w:r>
      <w:r w:rsidR="00242330">
        <w:t>ex-ante authorizations (</w:t>
      </w:r>
      <w:r w:rsidR="005B172E">
        <w:t>1,</w:t>
      </w:r>
      <w:r w:rsidR="006D6ABE">
        <w:t>584</w:t>
      </w:r>
      <w:r w:rsidR="005B172E">
        <w:t xml:space="preserve">) and </w:t>
      </w:r>
      <w:r w:rsidR="00052799" w:rsidRPr="007761DC">
        <w:t>renewals (649)</w:t>
      </w:r>
      <w:r w:rsidR="007510C5">
        <w:t>—</w:t>
      </w:r>
      <w:r w:rsidR="00052799" w:rsidRPr="007761DC">
        <w:t xml:space="preserve">a practice that should be limited to </w:t>
      </w:r>
      <w:r w:rsidR="00052799">
        <w:t xml:space="preserve">a small number of </w:t>
      </w:r>
      <w:r w:rsidR="00052799" w:rsidRPr="007761DC">
        <w:t>specific cases.</w:t>
      </w:r>
      <w:r w:rsidR="000964A4">
        <w:t xml:space="preserve"> </w:t>
      </w:r>
      <w:r w:rsidR="00C724F1">
        <w:t xml:space="preserve">This suggests there is further room for streamlining. </w:t>
      </w:r>
      <w:r w:rsidR="003B735C">
        <w:t xml:space="preserve">There is no standardized terminology for regulatory instruments and </w:t>
      </w:r>
      <w:r w:rsidR="000463A7">
        <w:t xml:space="preserve">ministries use different terms </w:t>
      </w:r>
      <w:r w:rsidR="005B645B">
        <w:t xml:space="preserve">(e.g. license, certificate, approval, etc.) </w:t>
      </w:r>
      <w:r w:rsidR="000463A7">
        <w:t xml:space="preserve">to refer to these ex-ante authorizations. </w:t>
      </w:r>
    </w:p>
    <w:p w14:paraId="06BC499E" w14:textId="7698ADDD" w:rsidR="0021330B" w:rsidRDefault="00482E08" w:rsidP="00AA6635">
      <w:pPr>
        <w:jc w:val="both"/>
      </w:pPr>
      <w:r w:rsidRPr="00331D55">
        <w:rPr>
          <w:b/>
          <w:bCs/>
        </w:rPr>
        <w:t xml:space="preserve">Private sector representatives </w:t>
      </w:r>
      <w:r>
        <w:rPr>
          <w:b/>
          <w:bCs/>
        </w:rPr>
        <w:t xml:space="preserve">consulted for this </w:t>
      </w:r>
      <w:r w:rsidR="0024409A">
        <w:rPr>
          <w:b/>
          <w:bCs/>
        </w:rPr>
        <w:t xml:space="preserve">report </w:t>
      </w:r>
      <w:r>
        <w:rPr>
          <w:b/>
          <w:bCs/>
        </w:rPr>
        <w:t>acknowledged</w:t>
      </w:r>
      <w:r w:rsidRPr="00331D55">
        <w:rPr>
          <w:b/>
          <w:bCs/>
        </w:rPr>
        <w:t xml:space="preserve"> the </w:t>
      </w:r>
      <w:r>
        <w:rPr>
          <w:b/>
          <w:bCs/>
        </w:rPr>
        <w:t>importance of Resolution 68’s objectives</w:t>
      </w:r>
      <w:r w:rsidR="00B80989">
        <w:rPr>
          <w:b/>
          <w:bCs/>
        </w:rPr>
        <w:t xml:space="preserve"> and </w:t>
      </w:r>
      <w:r w:rsidR="00C76EC7">
        <w:rPr>
          <w:b/>
          <w:bCs/>
        </w:rPr>
        <w:t>reform measures</w:t>
      </w:r>
      <w:r>
        <w:rPr>
          <w:b/>
          <w:bCs/>
        </w:rPr>
        <w:t xml:space="preserve">, while suggesting </w:t>
      </w:r>
      <w:r w:rsidR="002A598B">
        <w:rPr>
          <w:b/>
          <w:bCs/>
        </w:rPr>
        <w:t xml:space="preserve">that </w:t>
      </w:r>
      <w:r>
        <w:rPr>
          <w:b/>
          <w:bCs/>
        </w:rPr>
        <w:t xml:space="preserve">the regulatory improvements could be more ambitious. </w:t>
      </w:r>
      <w:r>
        <w:t xml:space="preserve">There is a general view that the </w:t>
      </w:r>
      <w:r w:rsidR="001409F2">
        <w:t xml:space="preserve">government’s </w:t>
      </w:r>
      <w:r>
        <w:t>efforts to streamline regulations, digitalize procedures and engage with the private sector have reduced the burden of regulations</w:t>
      </w:r>
      <w:r w:rsidRPr="001D176C">
        <w:t>.</w:t>
      </w:r>
      <w:r w:rsidRPr="001C154F">
        <w:t xml:space="preserve"> H</w:t>
      </w:r>
      <w:r w:rsidRPr="00BD403B">
        <w:t xml:space="preserve">owever, </w:t>
      </w:r>
      <w:r>
        <w:t xml:space="preserve">private sector representatives highlighted that </w:t>
      </w:r>
      <w:r w:rsidR="00C04192" w:rsidRPr="00C04192">
        <w:t>many changes focused on reducing the number of documents required or time to wait for results</w:t>
      </w:r>
      <w:r>
        <w:t>.</w:t>
      </w:r>
      <w:r w:rsidR="00C61F65">
        <w:t xml:space="preserve"> </w:t>
      </w:r>
      <w:r w:rsidR="00F33CD0">
        <w:t>Many online administrative procedures still require</w:t>
      </w:r>
      <w:r w:rsidR="00000951" w:rsidRPr="00BD403B">
        <w:t xml:space="preserve"> paper documents </w:t>
      </w:r>
      <w:r w:rsidR="00000951" w:rsidRPr="00BD403B">
        <w:lastRenderedPageBreak/>
        <w:t>and in-person visits to government offices</w:t>
      </w:r>
      <w:r w:rsidR="00A754F7">
        <w:t xml:space="preserve">, including </w:t>
      </w:r>
      <w:r w:rsidR="00DA15CC">
        <w:t xml:space="preserve">going back to </w:t>
      </w:r>
      <w:r w:rsidR="00782ACD">
        <w:t>obtain</w:t>
      </w:r>
      <w:r w:rsidR="00000951" w:rsidRPr="00BD403B">
        <w:t xml:space="preserve"> the hard-copy of the </w:t>
      </w:r>
      <w:r w:rsidR="00CB2D7D">
        <w:t>output document</w:t>
      </w:r>
      <w:r w:rsidR="00000951" w:rsidRPr="00BD403B">
        <w:t>.</w:t>
      </w:r>
    </w:p>
    <w:p w14:paraId="4BEE0E77" w14:textId="1BA56597" w:rsidR="005579EE" w:rsidRDefault="00872A26" w:rsidP="00AA6635">
      <w:pPr>
        <w:jc w:val="both"/>
      </w:pPr>
      <w:r w:rsidRPr="00925C0B">
        <w:rPr>
          <w:b/>
        </w:rPr>
        <w:t xml:space="preserve">Despite clearly defined roles for government agencies, with APCA/OOG in </w:t>
      </w:r>
      <w:r w:rsidR="00664A8B" w:rsidRPr="00925C0B">
        <w:rPr>
          <w:b/>
        </w:rPr>
        <w:t>charge of coordination</w:t>
      </w:r>
      <w:r w:rsidRPr="00925C0B">
        <w:rPr>
          <w:b/>
        </w:rPr>
        <w:t xml:space="preserve">, gaps </w:t>
      </w:r>
      <w:r w:rsidR="00664A8B" w:rsidRPr="00925C0B">
        <w:rPr>
          <w:b/>
        </w:rPr>
        <w:t xml:space="preserve">in the implementation of Resolution 68 </w:t>
      </w:r>
      <w:r w:rsidRPr="00925C0B">
        <w:rPr>
          <w:b/>
        </w:rPr>
        <w:t>persist due to limited resources and weak accountability mechanisms.</w:t>
      </w:r>
      <w:r>
        <w:t xml:space="preserve"> </w:t>
      </w:r>
      <w:r w:rsidR="00E803C6" w:rsidRPr="00925C0B">
        <w:t xml:space="preserve">Moreover, Resolution 68 lacks specific technical-level institutional mechanisms for coordinating multi-agency regulation reviews in complex sectors, such as construction, with APCA/OOG often initiating </w:t>
      </w:r>
      <w:r w:rsidR="00930670">
        <w:t xml:space="preserve">the </w:t>
      </w:r>
      <w:r w:rsidR="00E803C6" w:rsidRPr="00925C0B">
        <w:t xml:space="preserve">coordination. The </w:t>
      </w:r>
      <w:r w:rsidR="000E0208">
        <w:t>R</w:t>
      </w:r>
      <w:r w:rsidR="00E803C6" w:rsidRPr="00925C0B">
        <w:t xml:space="preserve">esolution also encourages firm and individual feedback to pinpoint problematic regulations, facilitated by mechanisms like the Prime Minister’s Advisory Council for Administrative Procedures Reform (ACAPR). While ACAPR plays a key role in gathering private sector input and overseeing the reform's execution, it could further enhance its impact by conducting more independent regulation reviews and offering reform suggestions as envisioned in the </w:t>
      </w:r>
      <w:r w:rsidR="00F50A44">
        <w:t>R</w:t>
      </w:r>
      <w:r w:rsidR="00E803C6" w:rsidRPr="00925C0B">
        <w:t>esolution.</w:t>
      </w:r>
      <w:r w:rsidR="004E4FF9">
        <w:t xml:space="preserve"> </w:t>
      </w:r>
      <w:r w:rsidR="0033149F" w:rsidRPr="00925C0B">
        <w:t>Viet Nam's government, via the APCA/OOG, has significantly invested in regulatory reform and good practices over the past twenty years, aided by development partners and global insights. Despite these efforts and dedicated tools for tasks under Resolution 68, there are signs of overextended capacity, with uneven compliance and variable quality in calculating compliance costs across ministries</w:t>
      </w:r>
      <w:r w:rsidR="0033149F" w:rsidRPr="004E4FF9">
        <w:t xml:space="preserve">. </w:t>
      </w:r>
      <w:r w:rsidR="00F71905" w:rsidRPr="00925C0B">
        <w:t xml:space="preserve">Reporting requirements on implementation are laid out in Resolution 68, including an obligation for ministries to produce semi-annual progress reports, but the resolution does not mention consequences for lack of implementation by ministries. </w:t>
      </w:r>
    </w:p>
    <w:p w14:paraId="47960749" w14:textId="12F701E5" w:rsidR="00542E1B" w:rsidRPr="00925C0B" w:rsidRDefault="00542E1B" w:rsidP="00AA6635">
      <w:pPr>
        <w:jc w:val="both"/>
      </w:pPr>
      <w:r w:rsidRPr="00542E1B">
        <w:rPr>
          <w:b/>
          <w:bCs/>
        </w:rPr>
        <w:t>Resolution 68 encourages digital solutions</w:t>
      </w:r>
      <w:r w:rsidR="00027898" w:rsidRPr="00027898">
        <w:rPr>
          <w:b/>
          <w:bCs/>
        </w:rPr>
        <w:t xml:space="preserve"> </w:t>
      </w:r>
      <w:r w:rsidR="00027898">
        <w:rPr>
          <w:b/>
          <w:bCs/>
        </w:rPr>
        <w:t xml:space="preserve">for </w:t>
      </w:r>
      <w:r w:rsidR="00027898" w:rsidRPr="00542E1B">
        <w:rPr>
          <w:b/>
          <w:bCs/>
        </w:rPr>
        <w:t>regulatory</w:t>
      </w:r>
      <w:r w:rsidR="00027898">
        <w:rPr>
          <w:b/>
          <w:bCs/>
        </w:rPr>
        <w:t xml:space="preserve"> delivery</w:t>
      </w:r>
      <w:r w:rsidRPr="00542E1B">
        <w:rPr>
          <w:b/>
          <w:bCs/>
        </w:rPr>
        <w:t xml:space="preserve">, with </w:t>
      </w:r>
      <w:r w:rsidR="00417062">
        <w:rPr>
          <w:b/>
          <w:bCs/>
        </w:rPr>
        <w:t>important achievement</w:t>
      </w:r>
      <w:r w:rsidR="00555EB3">
        <w:rPr>
          <w:b/>
          <w:bCs/>
        </w:rPr>
        <w:t xml:space="preserve">s and </w:t>
      </w:r>
      <w:r w:rsidRPr="00542E1B">
        <w:rPr>
          <w:b/>
          <w:bCs/>
        </w:rPr>
        <w:t xml:space="preserve">significant potential for enhancement. </w:t>
      </w:r>
      <w:r w:rsidRPr="00925C0B">
        <w:t xml:space="preserve">APCA/OOG has developed the National Public Services Portal (NPSP) since 2019, </w:t>
      </w:r>
      <w:r w:rsidR="002313A9" w:rsidRPr="00925C0B">
        <w:t>which provides</w:t>
      </w:r>
      <w:r w:rsidRPr="00925C0B">
        <w:t xml:space="preserve"> </w:t>
      </w:r>
      <w:r w:rsidR="000252A9">
        <w:t xml:space="preserve">a government-wide platform with </w:t>
      </w:r>
      <w:r w:rsidR="002313A9" w:rsidRPr="00925C0B">
        <w:t>information on</w:t>
      </w:r>
      <w:r w:rsidRPr="00925C0B">
        <w:t xml:space="preserve"> administrative procedures and </w:t>
      </w:r>
      <w:r w:rsidR="002313A9" w:rsidRPr="00925C0B">
        <w:t xml:space="preserve">transactional </w:t>
      </w:r>
      <w:r w:rsidRPr="00925C0B">
        <w:t xml:space="preserve">services from various ministries and provinces. </w:t>
      </w:r>
      <w:r w:rsidR="002C06E8">
        <w:t>There is good p</w:t>
      </w:r>
      <w:r w:rsidRPr="00925C0B">
        <w:t xml:space="preserve">rogress in eGovernment initiatives </w:t>
      </w:r>
      <w:r w:rsidR="00D83CAA">
        <w:t xml:space="preserve">which </w:t>
      </w:r>
      <w:r w:rsidRPr="00925C0B">
        <w:t>includ</w:t>
      </w:r>
      <w:r w:rsidR="009F6FF6">
        <w:t>e</w:t>
      </w:r>
      <w:r w:rsidRPr="00925C0B">
        <w:t xml:space="preserve"> an online payment platform</w:t>
      </w:r>
      <w:r w:rsidR="00895B93">
        <w:t>,</w:t>
      </w:r>
      <w:r w:rsidR="009F6FF6">
        <w:t xml:space="preserve"> and gradual </w:t>
      </w:r>
      <w:r w:rsidR="009A5FAE">
        <w:t xml:space="preserve">but accelerating </w:t>
      </w:r>
      <w:r w:rsidR="009F6FF6">
        <w:t>deployment of</w:t>
      </w:r>
      <w:r w:rsidR="00827A26" w:rsidRPr="00925C0B">
        <w:t xml:space="preserve"> </w:t>
      </w:r>
      <w:r w:rsidR="00BB1F79">
        <w:t>end-to-end</w:t>
      </w:r>
      <w:r w:rsidRPr="00925C0B">
        <w:t xml:space="preserve"> online services</w:t>
      </w:r>
      <w:r w:rsidR="009F6FF6">
        <w:t xml:space="preserve">. But </w:t>
      </w:r>
      <w:r w:rsidR="00CA35ED">
        <w:t>improvements are</w:t>
      </w:r>
      <w:r w:rsidR="009F6FF6">
        <w:t xml:space="preserve"> </w:t>
      </w:r>
      <w:r w:rsidRPr="00925C0B">
        <w:t>hindered by the manually updated</w:t>
      </w:r>
      <w:r w:rsidR="001859F0">
        <w:t>, and sometimes outdated,</w:t>
      </w:r>
      <w:r w:rsidRPr="00925C0B">
        <w:t xml:space="preserve"> National Database of Administrative Procedures (NDAP)</w:t>
      </w:r>
      <w:r w:rsidR="00CA35ED">
        <w:t>,</w:t>
      </w:r>
      <w:r w:rsidRPr="00925C0B">
        <w:t xml:space="preserve"> which lacks</w:t>
      </w:r>
      <w:r w:rsidR="005572C4">
        <w:t xml:space="preserve"> full</w:t>
      </w:r>
      <w:r w:rsidRPr="00925C0B">
        <w:t xml:space="preserve"> legal authority</w:t>
      </w:r>
      <w:r w:rsidR="00173734">
        <w:t xml:space="preserve"> in the sense that APs not uploaded to the database </w:t>
      </w:r>
      <w:r w:rsidR="007A29C4">
        <w:t xml:space="preserve">can </w:t>
      </w:r>
      <w:r w:rsidR="00B7711F">
        <w:t xml:space="preserve">still </w:t>
      </w:r>
      <w:r w:rsidR="00191D01">
        <w:t>be legal</w:t>
      </w:r>
      <w:r w:rsidR="00B7711F">
        <w:t>ly</w:t>
      </w:r>
      <w:r w:rsidR="00191D01">
        <w:t xml:space="preserve"> valid and enforce</w:t>
      </w:r>
      <w:r w:rsidR="00A95403">
        <w:t>a</w:t>
      </w:r>
      <w:r w:rsidR="00191D01">
        <w:t>ble</w:t>
      </w:r>
      <w:r w:rsidRPr="00925C0B">
        <w:t>.</w:t>
      </w:r>
      <w:r w:rsidR="00224881">
        <w:rPr>
          <w:rStyle w:val="FootnoteReference"/>
        </w:rPr>
        <w:footnoteReference w:id="8"/>
      </w:r>
      <w:r w:rsidRPr="00925C0B">
        <w:t xml:space="preserve"> Advancements such as</w:t>
      </w:r>
      <w:r w:rsidR="00742406">
        <w:t xml:space="preserve"> </w:t>
      </w:r>
      <w:r w:rsidRPr="00925C0B">
        <w:t xml:space="preserve">adopting the "once only" principle and improving government-wide data sharing </w:t>
      </w:r>
      <w:r w:rsidR="00027898" w:rsidRPr="00925C0B">
        <w:t xml:space="preserve">(interoperability) </w:t>
      </w:r>
      <w:r w:rsidRPr="00925C0B">
        <w:t>could substantially improve online services. Furthermore, the current legal framework, while supportive of digitalization, does not fully embrace a digital-first approach.</w:t>
      </w:r>
    </w:p>
    <w:p w14:paraId="37447642" w14:textId="29106EC8" w:rsidR="00A871F1" w:rsidRPr="00AA6635" w:rsidRDefault="006F4E47" w:rsidP="00AA6635">
      <w:pPr>
        <w:jc w:val="both"/>
        <w:rPr>
          <w:b/>
          <w:bCs/>
        </w:rPr>
      </w:pPr>
      <w:r>
        <w:rPr>
          <w:b/>
          <w:bCs/>
        </w:rPr>
        <w:t>In sum, R</w:t>
      </w:r>
      <w:r w:rsidRPr="006F4E47">
        <w:rPr>
          <w:b/>
          <w:bCs/>
        </w:rPr>
        <w:t xml:space="preserve">esolution 68 </w:t>
      </w:r>
      <w:r w:rsidR="009E2F44">
        <w:rPr>
          <w:b/>
          <w:bCs/>
        </w:rPr>
        <w:t xml:space="preserve">has </w:t>
      </w:r>
      <w:r w:rsidR="00261842">
        <w:rPr>
          <w:b/>
          <w:bCs/>
        </w:rPr>
        <w:t>made progress and builds on good regulatory practice</w:t>
      </w:r>
      <w:r w:rsidR="00D4262C">
        <w:rPr>
          <w:b/>
          <w:bCs/>
        </w:rPr>
        <w:t>s</w:t>
      </w:r>
      <w:r w:rsidR="008B5BE7">
        <w:rPr>
          <w:b/>
          <w:bCs/>
        </w:rPr>
        <w:t>,</w:t>
      </w:r>
      <w:r w:rsidRPr="006F4E47">
        <w:rPr>
          <w:b/>
          <w:bCs/>
        </w:rPr>
        <w:t xml:space="preserve"> but </w:t>
      </w:r>
      <w:r w:rsidR="001B22BA">
        <w:rPr>
          <w:b/>
          <w:bCs/>
        </w:rPr>
        <w:t xml:space="preserve">Viet Nam </w:t>
      </w:r>
      <w:r w:rsidRPr="006F4E47">
        <w:rPr>
          <w:b/>
          <w:bCs/>
        </w:rPr>
        <w:t xml:space="preserve">could benefit from a more effective strategy to significantly </w:t>
      </w:r>
      <w:r w:rsidR="001C7C31">
        <w:rPr>
          <w:b/>
          <w:bCs/>
        </w:rPr>
        <w:t>improve</w:t>
      </w:r>
      <w:r w:rsidR="001C7C31" w:rsidRPr="006F4E47">
        <w:rPr>
          <w:b/>
          <w:bCs/>
        </w:rPr>
        <w:t xml:space="preserve"> </w:t>
      </w:r>
      <w:r w:rsidRPr="006F4E47">
        <w:rPr>
          <w:b/>
          <w:bCs/>
        </w:rPr>
        <w:t xml:space="preserve">regulatory </w:t>
      </w:r>
      <w:r w:rsidR="001B22BA">
        <w:rPr>
          <w:b/>
          <w:bCs/>
        </w:rPr>
        <w:t>formulation</w:t>
      </w:r>
      <w:r w:rsidRPr="006F4E47">
        <w:rPr>
          <w:b/>
          <w:bCs/>
        </w:rPr>
        <w:t xml:space="preserve"> and delivery</w:t>
      </w:r>
      <w:r w:rsidR="000B09FB">
        <w:rPr>
          <w:b/>
          <w:bCs/>
        </w:rPr>
        <w:t xml:space="preserve">. </w:t>
      </w:r>
      <w:r w:rsidR="000A3D31">
        <w:t>Resolution 68</w:t>
      </w:r>
      <w:r w:rsidRPr="00925C0B">
        <w:t xml:space="preserve"> emphasizes quantitative goals like reducing regulations and compliance costs, but a broader vision that includes economic impact, digital transformation, and regulatory </w:t>
      </w:r>
      <w:r w:rsidR="00CE0343">
        <w:t xml:space="preserve">delivery </w:t>
      </w:r>
      <w:r w:rsidRPr="00925C0B">
        <w:t xml:space="preserve">reform would strengthen it. The </w:t>
      </w:r>
      <w:r w:rsidR="00261842">
        <w:t>R</w:t>
      </w:r>
      <w:r w:rsidRPr="00925C0B">
        <w:t>esolution focuses on simplifying existing regulations and controlling new ones, rather than a comprehensive approach that emphasizes streamlining, digitalization, and service integration from the business standpoint</w:t>
      </w:r>
      <w:r w:rsidR="0032560F">
        <w:t xml:space="preserve">, and sets priorities </w:t>
      </w:r>
      <w:r w:rsidR="00E917BF">
        <w:t>to reform regulations to unlock productivity growth</w:t>
      </w:r>
      <w:r w:rsidRPr="00925C0B">
        <w:t xml:space="preserve">. The current formalistic approach leads agencies to </w:t>
      </w:r>
      <w:r w:rsidR="0063306F">
        <w:t>pr</w:t>
      </w:r>
      <w:r w:rsidR="004C68D9">
        <w:t>ioritize</w:t>
      </w:r>
      <w:r w:rsidR="0063306F" w:rsidRPr="00925C0B">
        <w:t xml:space="preserve"> </w:t>
      </w:r>
      <w:r w:rsidRPr="00925C0B">
        <w:t>isolated improvements based on quantitative goals. Additionally, uneven implementation across ministries and information gaps impede</w:t>
      </w:r>
      <w:r w:rsidR="0013524E">
        <w:t>s</w:t>
      </w:r>
      <w:r w:rsidRPr="00925C0B">
        <w:t xml:space="preserve"> evaluation of the </w:t>
      </w:r>
      <w:r w:rsidR="000A3D31" w:rsidRPr="00F50757">
        <w:t>R</w:t>
      </w:r>
      <w:r w:rsidRPr="00925C0B">
        <w:t>esolution's effectiveness.</w:t>
      </w:r>
      <w:r w:rsidR="001B22BA" w:rsidRPr="00F50757">
        <w:t xml:space="preserve"> </w:t>
      </w:r>
      <w:r w:rsidR="004E5DEB" w:rsidRPr="00925C0B">
        <w:t xml:space="preserve">These findings inform a set of policy recommendations for improving </w:t>
      </w:r>
      <w:r w:rsidR="008C69CB" w:rsidRPr="00925C0B">
        <w:t xml:space="preserve">the </w:t>
      </w:r>
      <w:r w:rsidR="008C69CB" w:rsidRPr="00925C0B">
        <w:lastRenderedPageBreak/>
        <w:t xml:space="preserve">results of Resolution 68 in the short term and </w:t>
      </w:r>
      <w:r w:rsidR="00502F40" w:rsidRPr="00925C0B">
        <w:t xml:space="preserve">creating a better </w:t>
      </w:r>
      <w:r w:rsidR="00256F27" w:rsidRPr="00925C0B">
        <w:t>regulatory system in the mid</w:t>
      </w:r>
      <w:r w:rsidR="002F2E06" w:rsidRPr="00925C0B">
        <w:t xml:space="preserve">-term and </w:t>
      </w:r>
      <w:r w:rsidR="00EB7BFF" w:rsidRPr="00EB7BFF">
        <w:t>long-term</w:t>
      </w:r>
      <w:r w:rsidR="002F2E06" w:rsidRPr="00925C0B">
        <w:t xml:space="preserve"> </w:t>
      </w:r>
      <w:r w:rsidR="00325590" w:rsidRPr="00925C0B">
        <w:t>t</w:t>
      </w:r>
      <w:r w:rsidR="002F2E06" w:rsidRPr="00925C0B">
        <w:t>o support Viet Nam’s economic growth towards its high-come objective</w:t>
      </w:r>
      <w:r w:rsidR="003A3181" w:rsidRPr="00925C0B">
        <w:t xml:space="preserve"> </w:t>
      </w:r>
      <w:r w:rsidR="004E5DEB" w:rsidRPr="00F50757">
        <w:t xml:space="preserve">(a detailed discussion is in the </w:t>
      </w:r>
      <w:r w:rsidR="004E5DEB" w:rsidRPr="00F50757">
        <w:rPr>
          <w:i/>
          <w:iCs/>
        </w:rPr>
        <w:t>Conclusions and Policy Recommendations</w:t>
      </w:r>
      <w:r w:rsidR="004E5DEB" w:rsidRPr="00F50757">
        <w:t xml:space="preserve"> section):</w:t>
      </w:r>
    </w:p>
    <w:p w14:paraId="028ACEB9" w14:textId="484D1821" w:rsidR="000A1DC3" w:rsidRDefault="00F65B1B" w:rsidP="00AA6635">
      <w:pPr>
        <w:jc w:val="both"/>
      </w:pPr>
      <w:r>
        <w:rPr>
          <w:b/>
          <w:bCs/>
        </w:rPr>
        <w:t xml:space="preserve">1. </w:t>
      </w:r>
      <w:r w:rsidR="0052657D" w:rsidRPr="00AA6635">
        <w:rPr>
          <w:b/>
          <w:bCs/>
        </w:rPr>
        <w:t>Prioritize resources in areas with the highest likelihood of results</w:t>
      </w:r>
      <w:r w:rsidR="00113444" w:rsidRPr="00F65B1B">
        <w:rPr>
          <w:b/>
          <w:bCs/>
        </w:rPr>
        <w:t xml:space="preserve"> in the short term</w:t>
      </w:r>
      <w:r w:rsidRPr="00F65B1B">
        <w:rPr>
          <w:b/>
          <w:bCs/>
        </w:rPr>
        <w:t xml:space="preserve"> (2024</w:t>
      </w:r>
      <w:r w:rsidRPr="00AA6635">
        <w:t>-</w:t>
      </w:r>
      <w:r w:rsidRPr="00AA6635">
        <w:rPr>
          <w:b/>
          <w:bCs/>
        </w:rPr>
        <w:t>2025</w:t>
      </w:r>
      <w:r>
        <w:t>)</w:t>
      </w:r>
      <w:r w:rsidR="0052657D" w:rsidRPr="00AA6635">
        <w:t>:</w:t>
      </w:r>
      <w:r w:rsidR="00FE6945">
        <w:t xml:space="preserve"> Given the resource and time constraint, </w:t>
      </w:r>
      <w:r w:rsidR="00D72AB7">
        <w:t xml:space="preserve">the government, via APCA/OOG, could set criteria to prioritize </w:t>
      </w:r>
      <w:r w:rsidR="00697AFA">
        <w:t xml:space="preserve">specific sectors or </w:t>
      </w:r>
      <w:r w:rsidR="00697AFA" w:rsidRPr="00881B4D">
        <w:t>business activities identified as offering opportunities to reduce the regulatory burden</w:t>
      </w:r>
      <w:r w:rsidR="00E66160">
        <w:t>,</w:t>
      </w:r>
      <w:r w:rsidR="00A1389D" w:rsidRPr="00AA6635">
        <w:t xml:space="preserve"> e</w:t>
      </w:r>
      <w:r w:rsidR="00881B4D">
        <w:t xml:space="preserve">ngage with </w:t>
      </w:r>
      <w:r w:rsidR="00C20BA0" w:rsidRPr="0058078A">
        <w:t xml:space="preserve">a more proactive and committed </w:t>
      </w:r>
      <w:r w:rsidR="00C20BA0">
        <w:t>m</w:t>
      </w:r>
      <w:r w:rsidR="00C20BA0" w:rsidRPr="0058078A">
        <w:t>inistries</w:t>
      </w:r>
      <w:r w:rsidR="00E66160">
        <w:t xml:space="preserve">, and make sure </w:t>
      </w:r>
      <w:r w:rsidR="00610BE9" w:rsidRPr="00610BE9">
        <w:t>the legal instruments already approved by the Prime Minister for amendment</w:t>
      </w:r>
      <w:r w:rsidR="00C20BA0" w:rsidRPr="0058078A">
        <w:t xml:space="preserve"> </w:t>
      </w:r>
      <w:r w:rsidR="00A47EF7">
        <w:t xml:space="preserve">are </w:t>
      </w:r>
      <w:r w:rsidR="006E15F9">
        <w:t xml:space="preserve">revised and </w:t>
      </w:r>
      <w:r w:rsidR="000A1DC3">
        <w:t xml:space="preserve">issued in due course. </w:t>
      </w:r>
      <w:r w:rsidR="00D72AB7">
        <w:t xml:space="preserve">Redoubling efforts to measure results </w:t>
      </w:r>
      <w:r w:rsidR="003973FF">
        <w:t>against Resolution 68 targets</w:t>
      </w:r>
      <w:r w:rsidR="005007F8">
        <w:t>, and communicating results</w:t>
      </w:r>
      <w:r w:rsidR="000048DB">
        <w:t xml:space="preserve"> in terms of benefits to businesses, </w:t>
      </w:r>
      <w:r w:rsidR="00D64940">
        <w:t xml:space="preserve">would also </w:t>
      </w:r>
      <w:r w:rsidR="000B5691">
        <w:t>contribute to more positive outcomes of Resolution 68.</w:t>
      </w:r>
    </w:p>
    <w:p w14:paraId="0657FED2" w14:textId="2BBB5F1C" w:rsidR="00AB3DF9" w:rsidRDefault="00F65B1B" w:rsidP="00B71130">
      <w:pPr>
        <w:jc w:val="both"/>
        <w:rPr>
          <w:rFonts w:asciiTheme="majorHAnsi" w:eastAsiaTheme="majorEastAsia" w:hAnsiTheme="majorHAnsi" w:cstheme="majorBidi"/>
          <w:color w:val="2F5496" w:themeColor="accent1" w:themeShade="BF"/>
          <w:sz w:val="26"/>
          <w:szCs w:val="26"/>
        </w:rPr>
      </w:pPr>
      <w:r w:rsidRPr="00AA6635">
        <w:rPr>
          <w:b/>
          <w:bCs/>
        </w:rPr>
        <w:t xml:space="preserve">2. </w:t>
      </w:r>
      <w:r w:rsidR="006D47D7" w:rsidRPr="00AA6635">
        <w:rPr>
          <w:b/>
          <w:bCs/>
        </w:rPr>
        <w:t>In the medium</w:t>
      </w:r>
      <w:r w:rsidR="00F67FB5" w:rsidRPr="00AA6635">
        <w:rPr>
          <w:b/>
          <w:bCs/>
        </w:rPr>
        <w:t xml:space="preserve"> </w:t>
      </w:r>
      <w:r w:rsidR="006D47D7" w:rsidRPr="00AA6635">
        <w:rPr>
          <w:b/>
          <w:bCs/>
        </w:rPr>
        <w:t>term</w:t>
      </w:r>
      <w:r w:rsidR="00330A11" w:rsidRPr="00AA6635">
        <w:rPr>
          <w:b/>
          <w:bCs/>
        </w:rPr>
        <w:t xml:space="preserve">, adopt a </w:t>
      </w:r>
      <w:r w:rsidR="00F67FB5" w:rsidRPr="00AA6635">
        <w:rPr>
          <w:b/>
          <w:bCs/>
        </w:rPr>
        <w:t>comprehensive approach to regulatory reform anchored on the digital transformation of service delivery</w:t>
      </w:r>
      <w:r w:rsidR="00A27C06">
        <w:rPr>
          <w:b/>
          <w:bCs/>
        </w:rPr>
        <w:t xml:space="preserve"> as part of the next reform program (2026-2030)</w:t>
      </w:r>
      <w:r w:rsidR="00F67FB5" w:rsidRPr="6E051630">
        <w:rPr>
          <w:b/>
          <w:bCs/>
        </w:rPr>
        <w:t xml:space="preserve">. </w:t>
      </w:r>
      <w:r w:rsidR="004C374B">
        <w:t xml:space="preserve">This requires </w:t>
      </w:r>
      <w:r w:rsidR="004C374B" w:rsidRPr="6E051630">
        <w:rPr>
          <w:rFonts w:ascii="Calibri" w:hAnsi="Calibri" w:cs="Calibri"/>
        </w:rPr>
        <w:t xml:space="preserve">the development of an </w:t>
      </w:r>
      <w:r w:rsidR="002968A0" w:rsidRPr="6E051630">
        <w:rPr>
          <w:rFonts w:ascii="Calibri" w:hAnsi="Calibri" w:cs="Calibri"/>
        </w:rPr>
        <w:t>advanced</w:t>
      </w:r>
      <w:r w:rsidR="00135FF0" w:rsidRPr="6E051630">
        <w:rPr>
          <w:rFonts w:ascii="Calibri" w:hAnsi="Calibri" w:cs="Calibri"/>
        </w:rPr>
        <w:t xml:space="preserve"> government interoperability framework</w:t>
      </w:r>
      <w:r w:rsidR="002968A0" w:rsidRPr="6E051630">
        <w:rPr>
          <w:rFonts w:ascii="Calibri" w:hAnsi="Calibri" w:cs="Calibri"/>
        </w:rPr>
        <w:t xml:space="preserve"> </w:t>
      </w:r>
      <w:r w:rsidR="00135FF0" w:rsidRPr="6E051630">
        <w:rPr>
          <w:rFonts w:ascii="Calibri" w:hAnsi="Calibri" w:cs="Calibri"/>
        </w:rPr>
        <w:t>(</w:t>
      </w:r>
      <w:r w:rsidR="004C374B" w:rsidRPr="6E051630">
        <w:rPr>
          <w:rFonts w:ascii="Calibri" w:hAnsi="Calibri" w:cs="Calibri"/>
        </w:rPr>
        <w:t>eGIF</w:t>
      </w:r>
      <w:r w:rsidR="00135FF0" w:rsidRPr="6E051630">
        <w:rPr>
          <w:rFonts w:ascii="Calibri" w:hAnsi="Calibri" w:cs="Calibri"/>
        </w:rPr>
        <w:t>) to</w:t>
      </w:r>
      <w:r w:rsidR="004C374B" w:rsidRPr="6E051630">
        <w:rPr>
          <w:rFonts w:ascii="Calibri" w:hAnsi="Calibri" w:cs="Calibri"/>
        </w:rPr>
        <w:t xml:space="preserve"> enable sharing and re-using data through unified web-based application forms</w:t>
      </w:r>
      <w:r w:rsidR="003E3264" w:rsidRPr="6E051630">
        <w:rPr>
          <w:rFonts w:ascii="Calibri" w:hAnsi="Calibri" w:cs="Calibri"/>
        </w:rPr>
        <w:t xml:space="preserve"> </w:t>
      </w:r>
      <w:r w:rsidR="00135FF0" w:rsidRPr="6E051630">
        <w:rPr>
          <w:rFonts w:ascii="Calibri" w:hAnsi="Calibri" w:cs="Calibri"/>
        </w:rPr>
        <w:t xml:space="preserve">and </w:t>
      </w:r>
      <w:r w:rsidR="003E3264" w:rsidRPr="6E051630">
        <w:rPr>
          <w:rFonts w:ascii="Calibri" w:hAnsi="Calibri" w:cs="Calibri"/>
        </w:rPr>
        <w:t>strengthening the</w:t>
      </w:r>
      <w:r w:rsidR="00135FF0" w:rsidRPr="6E051630">
        <w:rPr>
          <w:rFonts w:ascii="Calibri" w:hAnsi="Calibri" w:cs="Calibri"/>
        </w:rPr>
        <w:t xml:space="preserve"> </w:t>
      </w:r>
      <w:r w:rsidR="004F012F" w:rsidRPr="6E051630">
        <w:rPr>
          <w:rFonts w:ascii="Calibri" w:hAnsi="Calibri" w:cs="Calibri"/>
        </w:rPr>
        <w:t>“digital first</w:t>
      </w:r>
      <w:r w:rsidR="003E3264" w:rsidRPr="6E051630">
        <w:rPr>
          <w:rFonts w:ascii="Calibri" w:hAnsi="Calibri" w:cs="Calibri"/>
        </w:rPr>
        <w:t xml:space="preserve">” </w:t>
      </w:r>
      <w:r w:rsidR="00135FF0" w:rsidRPr="6E051630">
        <w:rPr>
          <w:rFonts w:ascii="Calibri" w:hAnsi="Calibri" w:cs="Calibri"/>
        </w:rPr>
        <w:t>principle</w:t>
      </w:r>
      <w:r w:rsidR="003E3264" w:rsidRPr="6E051630">
        <w:rPr>
          <w:rFonts w:ascii="Calibri" w:hAnsi="Calibri" w:cs="Calibri"/>
        </w:rPr>
        <w:t xml:space="preserve"> in the legal framework</w:t>
      </w:r>
      <w:r w:rsidR="004C374B">
        <w:t>.</w:t>
      </w:r>
      <w:r w:rsidR="00135FF0">
        <w:t xml:space="preserve"> </w:t>
      </w:r>
      <w:r w:rsidR="00150375">
        <w:t>It would also</w:t>
      </w:r>
      <w:r w:rsidR="00974857">
        <w:t xml:space="preserve"> involve</w:t>
      </w:r>
      <w:r w:rsidR="00974857" w:rsidRPr="6E051630">
        <w:rPr>
          <w:b/>
          <w:bCs/>
        </w:rPr>
        <w:t xml:space="preserve"> </w:t>
      </w:r>
      <w:r w:rsidR="00974857">
        <w:t>adoptin</w:t>
      </w:r>
      <w:r w:rsidR="00150375">
        <w:t>g</w:t>
      </w:r>
      <w:r w:rsidR="00974857">
        <w:t xml:space="preserve"> of a risk-based approach to </w:t>
      </w:r>
      <w:r w:rsidR="00181940">
        <w:t>licensing and inspections,</w:t>
      </w:r>
      <w:r w:rsidR="006E660A">
        <w:t xml:space="preserve"> </w:t>
      </w:r>
      <w:r w:rsidR="004568EB">
        <w:t>backed by the</w:t>
      </w:r>
      <w:r w:rsidR="006E660A">
        <w:t xml:space="preserve"> </w:t>
      </w:r>
      <w:r w:rsidR="00D77B83">
        <w:t xml:space="preserve">introduction of </w:t>
      </w:r>
      <w:r w:rsidR="006E660A">
        <w:t>a horizontal legal framework for business licensing</w:t>
      </w:r>
      <w:r w:rsidR="009555F5">
        <w:t xml:space="preserve"> (both for legal entities and professionals)</w:t>
      </w:r>
      <w:r w:rsidR="00412C5F">
        <w:t>,</w:t>
      </w:r>
      <w:r w:rsidR="005E41DB">
        <w:t xml:space="preserve"> and a review of </w:t>
      </w:r>
      <w:r w:rsidR="00DC4D6C">
        <w:t>ex-ante authorizations</w:t>
      </w:r>
      <w:r w:rsidR="0052162E">
        <w:t xml:space="preserve"> by economic activity</w:t>
      </w:r>
      <w:r w:rsidR="003A2B4B">
        <w:t xml:space="preserve">. </w:t>
      </w:r>
      <w:r w:rsidR="004C2D35">
        <w:t xml:space="preserve">Priorities for the review could be based on (i) sectoral </w:t>
      </w:r>
      <w:r w:rsidR="00692E68">
        <w:t xml:space="preserve">relevance (for </w:t>
      </w:r>
      <w:r w:rsidR="00152666">
        <w:t>productivity, employment, etc.)</w:t>
      </w:r>
      <w:r w:rsidR="00EC2613">
        <w:t xml:space="preserve">; (ii) </w:t>
      </w:r>
      <w:r w:rsidR="00FB4DEF">
        <w:t xml:space="preserve">burden of regulations (based on survey and </w:t>
      </w:r>
      <w:r w:rsidR="0081396D">
        <w:t>private sector consultations</w:t>
      </w:r>
      <w:r w:rsidR="00FB4DEF">
        <w:t>)</w:t>
      </w:r>
      <w:r w:rsidR="0081396D">
        <w:t>; and</w:t>
      </w:r>
      <w:r w:rsidR="004C2D35">
        <w:t xml:space="preserve"> </w:t>
      </w:r>
      <w:r w:rsidR="00DF30DC">
        <w:t xml:space="preserve">(iii) </w:t>
      </w:r>
      <w:r w:rsidR="008B4663">
        <w:t>level of</w:t>
      </w:r>
      <w:r w:rsidR="00040119">
        <w:t xml:space="preserve"> institutional </w:t>
      </w:r>
      <w:r w:rsidR="008B4663">
        <w:t>coordination and capacity</w:t>
      </w:r>
      <w:r w:rsidR="00957DD3">
        <w:t xml:space="preserve"> necessary </w:t>
      </w:r>
      <w:r w:rsidR="00DC298F">
        <w:t xml:space="preserve">for </w:t>
      </w:r>
      <w:r w:rsidR="00A364E9">
        <w:t>reform.</w:t>
      </w:r>
      <w:r w:rsidR="00414744">
        <w:t xml:space="preserve"> </w:t>
      </w:r>
      <w:r w:rsidR="00E57EAA">
        <w:t xml:space="preserve">More </w:t>
      </w:r>
      <w:r w:rsidR="00BA039A">
        <w:t xml:space="preserve">impactful reforms can be achieved in the future if </w:t>
      </w:r>
      <w:r w:rsidR="00CC163F">
        <w:t>more private sector resources and expertise can be mobilized for reviewing and recommending reform measures</w:t>
      </w:r>
      <w:r w:rsidR="008B6C76">
        <w:t xml:space="preserve">, especially under the ACAPR framework. </w:t>
      </w:r>
      <w:r w:rsidR="00AB3DF9">
        <w:rPr>
          <w:rFonts w:asciiTheme="majorHAnsi" w:eastAsiaTheme="majorEastAsia" w:hAnsiTheme="majorHAnsi" w:cstheme="majorBidi"/>
          <w:color w:val="2F5496" w:themeColor="accent1" w:themeShade="BF"/>
          <w:sz w:val="26"/>
          <w:szCs w:val="26"/>
        </w:rPr>
        <w:br w:type="page"/>
      </w:r>
    </w:p>
    <w:p w14:paraId="0BB2E3CC" w14:textId="65C99C6B" w:rsidR="00995FFF" w:rsidRPr="00EE464D" w:rsidRDefault="00995FFF" w:rsidP="00AA6635">
      <w:pPr>
        <w:pStyle w:val="Heading1"/>
      </w:pPr>
      <w:bookmarkStart w:id="6" w:name="_Toc164342049"/>
      <w:bookmarkStart w:id="7" w:name="_Toc164344028"/>
      <w:bookmarkStart w:id="8" w:name="_Toc175228078"/>
      <w:bookmarkEnd w:id="6"/>
      <w:bookmarkEnd w:id="7"/>
      <w:r w:rsidRPr="00EE464D">
        <w:lastRenderedPageBreak/>
        <w:t>Motivation</w:t>
      </w:r>
      <w:bookmarkEnd w:id="8"/>
      <w:r w:rsidR="00995CD7" w:rsidRPr="00EE464D">
        <w:t xml:space="preserve"> </w:t>
      </w:r>
    </w:p>
    <w:p w14:paraId="50705391" w14:textId="77777777" w:rsidR="00536BFF" w:rsidRDefault="00536BFF" w:rsidP="00177167">
      <w:pPr>
        <w:spacing w:after="0"/>
        <w:jc w:val="both"/>
      </w:pPr>
    </w:p>
    <w:p w14:paraId="0A3339E2" w14:textId="27C96878" w:rsidR="001554A0" w:rsidRPr="001554A0" w:rsidRDefault="001554A0" w:rsidP="001554A0">
      <w:pPr>
        <w:jc w:val="both"/>
      </w:pPr>
      <w:r w:rsidRPr="001554A0">
        <w:rPr>
          <w:b/>
          <w:bCs/>
          <w:kern w:val="2"/>
          <w14:ligatures w14:val="standardContextual"/>
        </w:rPr>
        <w:t>Viet Nam has been a global economic star over the last 30 years, during which it has experienced one of the fastest G</w:t>
      </w:r>
      <w:r w:rsidR="00240ED1">
        <w:rPr>
          <w:b/>
          <w:bCs/>
          <w:kern w:val="2"/>
          <w14:ligatures w14:val="standardContextual"/>
        </w:rPr>
        <w:t>ross Domestic Product (</w:t>
      </w:r>
      <w:r w:rsidRPr="001554A0">
        <w:rPr>
          <w:b/>
          <w:bCs/>
          <w:kern w:val="2"/>
          <w14:ligatures w14:val="standardContextual"/>
        </w:rPr>
        <w:t>GDP</w:t>
      </w:r>
      <w:r w:rsidR="00240ED1">
        <w:rPr>
          <w:b/>
          <w:bCs/>
          <w:kern w:val="2"/>
          <w14:ligatures w14:val="standardContextual"/>
        </w:rPr>
        <w:t>)</w:t>
      </w:r>
      <w:r w:rsidRPr="001554A0">
        <w:rPr>
          <w:b/>
          <w:bCs/>
          <w:kern w:val="2"/>
          <w14:ligatures w14:val="standardContextual"/>
        </w:rPr>
        <w:t xml:space="preserve"> growth rates in the world</w:t>
      </w:r>
      <w:r w:rsidRPr="001554A0">
        <w:rPr>
          <w:kern w:val="2"/>
          <w14:ligatures w14:val="standardContextual"/>
        </w:rPr>
        <w:t xml:space="preserve">. From 1990 to </w:t>
      </w:r>
      <w:r w:rsidR="007E4175" w:rsidRPr="001554A0">
        <w:rPr>
          <w:kern w:val="2"/>
          <w14:ligatures w14:val="standardContextual"/>
        </w:rPr>
        <w:t>202</w:t>
      </w:r>
      <w:r w:rsidR="007E4175">
        <w:rPr>
          <w:kern w:val="2"/>
          <w14:ligatures w14:val="standardContextual"/>
        </w:rPr>
        <w:t>2</w:t>
      </w:r>
      <w:r w:rsidRPr="001554A0">
        <w:rPr>
          <w:kern w:val="2"/>
          <w14:ligatures w14:val="standardContextual"/>
        </w:rPr>
        <w:t>, Viet Nam’s GDP per capita grew at an average annual rate of 5.</w:t>
      </w:r>
      <w:r w:rsidR="00932BD8">
        <w:rPr>
          <w:kern w:val="2"/>
          <w14:ligatures w14:val="standardContextual"/>
        </w:rPr>
        <w:t>4</w:t>
      </w:r>
      <w:r w:rsidR="00932BD8" w:rsidRPr="001554A0">
        <w:rPr>
          <w:kern w:val="2"/>
          <w14:ligatures w14:val="standardContextual"/>
        </w:rPr>
        <w:t xml:space="preserve"> </w:t>
      </w:r>
      <w:r w:rsidRPr="001554A0">
        <w:rPr>
          <w:kern w:val="2"/>
          <w14:ligatures w14:val="standardContextual"/>
        </w:rPr>
        <w:t>percent</w:t>
      </w:r>
      <w:r w:rsidR="008510D1">
        <w:rPr>
          <w:kern w:val="2"/>
          <w14:ligatures w14:val="standardContextual"/>
        </w:rPr>
        <w:t>,</w:t>
      </w:r>
      <w:r w:rsidRPr="001554A0">
        <w:rPr>
          <w:kern w:val="2"/>
          <w14:ligatures w14:val="standardContextual"/>
        </w:rPr>
        <w:t xml:space="preserve"> faster than any other economy in the region except China</w:t>
      </w:r>
      <w:r w:rsidR="00945A17">
        <w:rPr>
          <w:kern w:val="2"/>
          <w14:ligatures w14:val="standardContextual"/>
        </w:rPr>
        <w:t xml:space="preserve"> and </w:t>
      </w:r>
      <w:r w:rsidR="00A6518B" w:rsidRPr="00A6518B">
        <w:rPr>
          <w:kern w:val="2"/>
          <w14:ligatures w14:val="standardContextual"/>
        </w:rPr>
        <w:t>Myanmar</w:t>
      </w:r>
      <w:r w:rsidRPr="001554A0">
        <w:rPr>
          <w:kern w:val="2"/>
          <w14:ligatures w14:val="standardContextual"/>
        </w:rPr>
        <w:t>.</w:t>
      </w:r>
      <w:r w:rsidR="00462B7A">
        <w:rPr>
          <w:rStyle w:val="FootnoteReference"/>
          <w:kern w:val="2"/>
          <w14:ligatures w14:val="standardContextual"/>
        </w:rPr>
        <w:footnoteReference w:id="9"/>
      </w:r>
      <w:r w:rsidRPr="001554A0">
        <w:rPr>
          <w:kern w:val="2"/>
          <w14:ligatures w14:val="standardContextual"/>
        </w:rPr>
        <w:t xml:space="preserve"> This remarkable performance has been driven by three engines of growth: fast capital accumulation, plentiful labor supply, and high productivity growth, which were underpinned by improvements in the business environment, increases in the quality of human capital, and large inflows of </w:t>
      </w:r>
      <w:r w:rsidR="00240ED1">
        <w:rPr>
          <w:kern w:val="2"/>
          <w14:ligatures w14:val="standardContextual"/>
        </w:rPr>
        <w:t>foreign direct investment (</w:t>
      </w:r>
      <w:r w:rsidRPr="001554A0">
        <w:rPr>
          <w:kern w:val="2"/>
          <w14:ligatures w14:val="standardContextual"/>
        </w:rPr>
        <w:t>FDI</w:t>
      </w:r>
      <w:r w:rsidR="00240ED1">
        <w:rPr>
          <w:kern w:val="2"/>
          <w14:ligatures w14:val="standardContextual"/>
        </w:rPr>
        <w:t>)</w:t>
      </w:r>
      <w:r w:rsidRPr="001554A0">
        <w:rPr>
          <w:kern w:val="2"/>
          <w14:ligatures w14:val="standardContextual"/>
        </w:rPr>
        <w:t xml:space="preserve">. </w:t>
      </w:r>
    </w:p>
    <w:p w14:paraId="43DEAA78" w14:textId="1E4E58F4" w:rsidR="00BF13AB" w:rsidRDefault="001554A0" w:rsidP="001554A0">
      <w:pPr>
        <w:jc w:val="both"/>
        <w:rPr>
          <w:kern w:val="2"/>
          <w14:ligatures w14:val="standardContextual"/>
        </w:rPr>
      </w:pPr>
      <w:r w:rsidRPr="001554A0">
        <w:rPr>
          <w:b/>
          <w:bCs/>
          <w:kern w:val="2"/>
          <w14:ligatures w14:val="standardContextual"/>
        </w:rPr>
        <w:t xml:space="preserve">Private investment has played a crucial role in Viet Nam's economic success story. </w:t>
      </w:r>
      <w:r w:rsidRPr="001554A0">
        <w:rPr>
          <w:kern w:val="2"/>
          <w14:ligatures w14:val="standardContextual"/>
        </w:rPr>
        <w:t xml:space="preserve">Driven by its trade openness and an export-oriented growth model, Viet Nam has attracted large amounts of FDI in labor-intensive segments of manufacturing </w:t>
      </w:r>
      <w:r w:rsidR="00240ED1">
        <w:rPr>
          <w:kern w:val="2"/>
          <w14:ligatures w14:val="standardContextual"/>
        </w:rPr>
        <w:t>global value chains (</w:t>
      </w:r>
      <w:r w:rsidRPr="001554A0">
        <w:rPr>
          <w:kern w:val="2"/>
          <w14:ligatures w14:val="standardContextual"/>
        </w:rPr>
        <w:t>GVCs</w:t>
      </w:r>
      <w:r w:rsidR="00240ED1">
        <w:rPr>
          <w:kern w:val="2"/>
          <w14:ligatures w14:val="standardContextual"/>
        </w:rPr>
        <w:t>)</w:t>
      </w:r>
      <w:r w:rsidRPr="001554A0">
        <w:rPr>
          <w:kern w:val="2"/>
          <w14:ligatures w14:val="standardContextual"/>
        </w:rPr>
        <w:t xml:space="preserve">, especially electronics and textiles. </w:t>
      </w:r>
      <w:r w:rsidR="00620279">
        <w:rPr>
          <w:kern w:val="2"/>
          <w14:ligatures w14:val="standardContextual"/>
        </w:rPr>
        <w:t xml:space="preserve">Overall, </w:t>
      </w:r>
      <w:r w:rsidR="002810A3">
        <w:rPr>
          <w:kern w:val="2"/>
          <w14:ligatures w14:val="standardContextual"/>
        </w:rPr>
        <w:t xml:space="preserve">investment </w:t>
      </w:r>
      <w:r w:rsidR="00117403">
        <w:rPr>
          <w:kern w:val="2"/>
          <w14:ligatures w14:val="standardContextual"/>
        </w:rPr>
        <w:t xml:space="preserve">of existing firms (within firm productivity growth) </w:t>
      </w:r>
      <w:r w:rsidR="00620279">
        <w:rPr>
          <w:kern w:val="2"/>
          <w14:ligatures w14:val="standardContextual"/>
        </w:rPr>
        <w:t xml:space="preserve">was a main component of </w:t>
      </w:r>
      <w:r w:rsidR="00F1225E">
        <w:rPr>
          <w:kern w:val="2"/>
          <w14:ligatures w14:val="standardContextual"/>
        </w:rPr>
        <w:t>total factor productivity (TFP)</w:t>
      </w:r>
      <w:r w:rsidR="00CD4C7F">
        <w:rPr>
          <w:kern w:val="2"/>
          <w14:ligatures w14:val="standardContextual"/>
        </w:rPr>
        <w:t xml:space="preserve"> growth in the past years. </w:t>
      </w:r>
      <w:r w:rsidR="79FB83C3" w:rsidRPr="001554A0">
        <w:rPr>
          <w:kern w:val="2"/>
          <w14:ligatures w14:val="standardContextual"/>
        </w:rPr>
        <w:t>The</w:t>
      </w:r>
      <w:r w:rsidRPr="001554A0">
        <w:rPr>
          <w:kern w:val="2"/>
          <w14:ligatures w14:val="standardContextual"/>
        </w:rPr>
        <w:t xml:space="preserve"> private sector</w:t>
      </w:r>
      <w:r w:rsidR="0A99C017" w:rsidRPr="001554A0">
        <w:rPr>
          <w:kern w:val="2"/>
          <w14:ligatures w14:val="standardContextual"/>
        </w:rPr>
        <w:t>’s</w:t>
      </w:r>
      <w:r w:rsidRPr="001554A0">
        <w:rPr>
          <w:kern w:val="2"/>
          <w14:ligatures w14:val="standardContextual"/>
        </w:rPr>
        <w:t xml:space="preserve"> fast growth has also driven rapid structural transformation, reflected in the rapidly declining share of agriculture employment and a corresponding increase of employment in industry and services. </w:t>
      </w:r>
      <w:r w:rsidR="00037857">
        <w:rPr>
          <w:kern w:val="2"/>
          <w14:ligatures w14:val="standardContextual"/>
        </w:rPr>
        <w:t>Yet, despite rapid growth in labor productivity</w:t>
      </w:r>
      <w:r w:rsidR="001630DF">
        <w:rPr>
          <w:kern w:val="2"/>
          <w14:ligatures w14:val="standardContextual"/>
        </w:rPr>
        <w:t xml:space="preserve"> in Viet Nam, its levels are still </w:t>
      </w:r>
      <w:r w:rsidR="007A025D">
        <w:rPr>
          <w:kern w:val="2"/>
          <w14:ligatures w14:val="standardContextual"/>
        </w:rPr>
        <w:t>low relative to regional peers</w:t>
      </w:r>
      <w:r w:rsidRPr="001554A0">
        <w:rPr>
          <w:kern w:val="2"/>
          <w14:ligatures w14:val="standardContextual"/>
        </w:rPr>
        <w:t>.</w:t>
      </w:r>
    </w:p>
    <w:p w14:paraId="3DAFBB25" w14:textId="2BD44B3B" w:rsidR="001554A0" w:rsidRPr="001554A0" w:rsidRDefault="001554A0" w:rsidP="00FC2819">
      <w:pPr>
        <w:jc w:val="both"/>
        <w:rPr>
          <w:kern w:val="2"/>
          <w14:ligatures w14:val="standardContextual"/>
        </w:rPr>
      </w:pPr>
      <w:r w:rsidRPr="001554A0">
        <w:rPr>
          <w:b/>
          <w:bCs/>
          <w:kern w:val="2"/>
          <w14:ligatures w14:val="standardContextual"/>
        </w:rPr>
        <w:t xml:space="preserve">Achieving Viet Nam’s objective to reach high-income status by 2045 requires accelerating productivity growth. </w:t>
      </w:r>
      <w:r w:rsidR="00024680" w:rsidRPr="00D64CD6">
        <w:rPr>
          <w:kern w:val="2"/>
          <w14:ligatures w14:val="standardContextual"/>
        </w:rPr>
        <w:t xml:space="preserve">The upcoming World Bank report </w:t>
      </w:r>
      <w:r w:rsidR="00FC2819" w:rsidRPr="00D64CD6">
        <w:rPr>
          <w:i/>
          <w:iCs/>
          <w:kern w:val="2"/>
          <w14:ligatures w14:val="standardContextual"/>
        </w:rPr>
        <w:t>Vietnam 2045: Trading Up in a Changing World</w:t>
      </w:r>
      <w:r w:rsidR="00FC2819" w:rsidRPr="00D64CD6">
        <w:rPr>
          <w:kern w:val="2"/>
          <w14:ligatures w14:val="standardContextual"/>
        </w:rPr>
        <w:t xml:space="preserve"> finds that achieving </w:t>
      </w:r>
      <w:r w:rsidR="00AA4064" w:rsidRPr="00D64CD6">
        <w:rPr>
          <w:kern w:val="2"/>
          <w14:ligatures w14:val="standardContextual"/>
        </w:rPr>
        <w:t xml:space="preserve">high-income </w:t>
      </w:r>
      <w:r w:rsidR="00FE4174" w:rsidRPr="00D64CD6">
        <w:rPr>
          <w:kern w:val="2"/>
          <w14:ligatures w14:val="standardContextual"/>
        </w:rPr>
        <w:t xml:space="preserve">status will require </w:t>
      </w:r>
      <w:r w:rsidR="00FE4174" w:rsidRPr="00320674">
        <w:t>labor productivity growth of 6.3 percent per year</w:t>
      </w:r>
      <w:r w:rsidRPr="00320674">
        <w:rPr>
          <w:kern w:val="2"/>
          <w14:ligatures w14:val="standardContextual"/>
        </w:rPr>
        <w:t>, significantly above the 5.0 percent average from the past decade.</w:t>
      </w:r>
      <w:r w:rsidR="00923804" w:rsidRPr="00320674">
        <w:rPr>
          <w:rStyle w:val="FootnoteReference"/>
          <w:kern w:val="2"/>
          <w14:ligatures w14:val="standardContextual"/>
        </w:rPr>
        <w:footnoteReference w:id="10"/>
      </w:r>
      <w:r w:rsidRPr="00320674">
        <w:rPr>
          <w:kern w:val="2"/>
          <w14:ligatures w14:val="standardContextual"/>
        </w:rPr>
        <w:t xml:space="preserve"> </w:t>
      </w:r>
      <w:r w:rsidR="002608A7" w:rsidRPr="008F646F">
        <w:rPr>
          <w:kern w:val="2"/>
          <w14:ligatures w14:val="standardContextual"/>
        </w:rPr>
        <w:t>Viet Nam needs to shift from unskilled, labor-intensive manufacturing</w:t>
      </w:r>
      <w:r w:rsidR="002608A7">
        <w:rPr>
          <w:kern w:val="2"/>
          <w14:ligatures w14:val="standardContextual"/>
        </w:rPr>
        <w:t>, with limited domestic-value addition,</w:t>
      </w:r>
      <w:r w:rsidR="002608A7" w:rsidRPr="008F646F">
        <w:rPr>
          <w:kern w:val="2"/>
          <w14:ligatures w14:val="standardContextual"/>
        </w:rPr>
        <w:t xml:space="preserve"> to higher value-added manufacturing and services, using improved technology, skills, and innovation</w:t>
      </w:r>
      <w:r w:rsidR="002608A7">
        <w:rPr>
          <w:kern w:val="2"/>
          <w14:ligatures w14:val="standardContextual"/>
        </w:rPr>
        <w:t xml:space="preserve">. </w:t>
      </w:r>
      <w:r w:rsidR="002608A7" w:rsidRPr="008F10AA">
        <w:rPr>
          <w:b/>
          <w:bCs/>
          <w:kern w:val="2"/>
          <w14:ligatures w14:val="standardContextual"/>
        </w:rPr>
        <w:t xml:space="preserve"> </w:t>
      </w:r>
      <w:r w:rsidR="006645C0">
        <w:rPr>
          <w:kern w:val="2"/>
          <w14:ligatures w14:val="standardContextual"/>
        </w:rPr>
        <w:t>T</w:t>
      </w:r>
      <w:r w:rsidR="006645C0" w:rsidRPr="001554A0">
        <w:rPr>
          <w:kern w:val="2"/>
          <w14:ligatures w14:val="standardContextual"/>
        </w:rPr>
        <w:t xml:space="preserve">he </w:t>
      </w:r>
      <w:r w:rsidRPr="001554A0">
        <w:rPr>
          <w:kern w:val="2"/>
          <w14:ligatures w14:val="standardContextual"/>
        </w:rPr>
        <w:t>domestic private sector will need to accelerate its productivity growth to achieve the ambitious high-income objective.</w:t>
      </w:r>
      <w:r w:rsidR="002E4B31" w:rsidRPr="00707CAA">
        <w:rPr>
          <w:rStyle w:val="FootnoteReference"/>
          <w:kern w:val="2"/>
          <w14:ligatures w14:val="standardContextual"/>
        </w:rPr>
        <w:footnoteReference w:id="11"/>
      </w:r>
      <w:r w:rsidRPr="001554A0">
        <w:rPr>
          <w:kern w:val="2"/>
          <w14:ligatures w14:val="standardContextual"/>
        </w:rPr>
        <w:t xml:space="preserve"> Yet, m</w:t>
      </w:r>
      <w:r w:rsidRPr="001554A0">
        <w:rPr>
          <w:rFonts w:cs="Arial"/>
          <w:kern w:val="2"/>
          <w14:ligatures w14:val="standardContextual"/>
        </w:rPr>
        <w:t>ost domestic private firms are micro and small enterprises that operate in relatively low productivity services (such as small retail and restaurants) and simple manufacturing activities targeting the domestic market, rather than export markets.</w:t>
      </w:r>
      <w:r w:rsidR="00F21AEA" w:rsidRPr="00F21AEA">
        <w:rPr>
          <w:kern w:val="2"/>
          <w:vertAlign w:val="superscript"/>
          <w14:ligatures w14:val="standardContextual"/>
        </w:rPr>
        <w:t xml:space="preserve"> </w:t>
      </w:r>
      <w:r w:rsidR="00F21AEA" w:rsidRPr="001554A0">
        <w:rPr>
          <w:kern w:val="2"/>
          <w:vertAlign w:val="superscript"/>
          <w14:ligatures w14:val="standardContextual"/>
        </w:rPr>
        <w:footnoteReference w:id="12"/>
      </w:r>
      <w:r w:rsidRPr="001554A0">
        <w:rPr>
          <w:rFonts w:cs="Arial"/>
          <w:kern w:val="2"/>
          <w14:ligatures w14:val="standardContextual"/>
        </w:rPr>
        <w:t xml:space="preserve"> T</w:t>
      </w:r>
      <w:r w:rsidRPr="001554A0">
        <w:rPr>
          <w:kern w:val="2"/>
          <w14:ligatures w14:val="standardContextual"/>
        </w:rPr>
        <w:t>here are also few knowledge- or innovation-based startups that have the potential to disrupt incumbent firms and transform industries.</w:t>
      </w:r>
      <w:r w:rsidR="036E2CAF" w:rsidRPr="001554A0">
        <w:rPr>
          <w:kern w:val="2"/>
          <w14:ligatures w14:val="standardContextual"/>
        </w:rPr>
        <w:t xml:space="preserve"> As a result, the productivity of the domestic private sector amounts to only about 1/5 of the level of productivity among the foreign-owned enterprises.</w:t>
      </w:r>
    </w:p>
    <w:p w14:paraId="19AB62AB" w14:textId="054F84E2" w:rsidR="001554A0" w:rsidRPr="001554A0" w:rsidRDefault="001554A0" w:rsidP="001554A0">
      <w:pPr>
        <w:jc w:val="both"/>
      </w:pPr>
      <w:r w:rsidRPr="001554A0">
        <w:rPr>
          <w:b/>
          <w:bCs/>
          <w:kern w:val="2"/>
          <w14:ligatures w14:val="standardContextual"/>
        </w:rPr>
        <w:t xml:space="preserve">Government policies and regulations provide the environment in which private firms operate, and therefore play a critical role in </w:t>
      </w:r>
      <w:r w:rsidR="00AB38F8">
        <w:rPr>
          <w:b/>
          <w:bCs/>
          <w:kern w:val="2"/>
          <w14:ligatures w14:val="standardContextual"/>
        </w:rPr>
        <w:t xml:space="preserve">boosting </w:t>
      </w:r>
      <w:r w:rsidR="00F2061D">
        <w:rPr>
          <w:b/>
          <w:bCs/>
          <w:kern w:val="2"/>
          <w14:ligatures w14:val="standardContextual"/>
        </w:rPr>
        <w:t>firm</w:t>
      </w:r>
      <w:r w:rsidR="00F2061D" w:rsidRPr="001554A0">
        <w:rPr>
          <w:b/>
          <w:bCs/>
          <w:kern w:val="2"/>
          <w14:ligatures w14:val="standardContextual"/>
        </w:rPr>
        <w:t xml:space="preserve"> </w:t>
      </w:r>
      <w:r w:rsidRPr="001554A0">
        <w:rPr>
          <w:b/>
          <w:bCs/>
          <w:kern w:val="2"/>
          <w14:ligatures w14:val="standardContextual"/>
        </w:rPr>
        <w:t xml:space="preserve">performance and </w:t>
      </w:r>
      <w:r w:rsidR="00AB38F8">
        <w:rPr>
          <w:b/>
          <w:bCs/>
          <w:kern w:val="2"/>
          <w14:ligatures w14:val="standardContextual"/>
        </w:rPr>
        <w:t xml:space="preserve">supporting </w:t>
      </w:r>
      <w:r w:rsidRPr="001554A0">
        <w:rPr>
          <w:b/>
          <w:bCs/>
          <w:kern w:val="2"/>
          <w14:ligatures w14:val="standardContextual"/>
        </w:rPr>
        <w:t>productivity growth.</w:t>
      </w:r>
      <w:r w:rsidRPr="001554A0">
        <w:rPr>
          <w:b/>
          <w:bCs/>
          <w:kern w:val="2"/>
          <w:vertAlign w:val="superscript"/>
          <w14:ligatures w14:val="standardContextual"/>
        </w:rPr>
        <w:t xml:space="preserve"> </w:t>
      </w:r>
      <w:r w:rsidRPr="001554A0">
        <w:rPr>
          <w:b/>
          <w:bCs/>
          <w:kern w:val="2"/>
          <w:vertAlign w:val="superscript"/>
          <w14:ligatures w14:val="standardContextual"/>
        </w:rPr>
        <w:footnoteReference w:id="13"/>
      </w:r>
      <w:r w:rsidRPr="001554A0">
        <w:rPr>
          <w:b/>
          <w:bCs/>
          <w:kern w:val="2"/>
          <w14:ligatures w14:val="standardContextual"/>
        </w:rPr>
        <w:t xml:space="preserve"> </w:t>
      </w:r>
      <w:r w:rsidRPr="001554A0">
        <w:rPr>
          <w:kern w:val="2"/>
          <w14:ligatures w14:val="standardContextual"/>
        </w:rPr>
        <w:t xml:space="preserve">While starting and running a successful business requires talent and capital, regulations shape incentives and behaviors that affect firm entry, growth and upgrading, and the exit of less successful firms. Therefore, a clear and predictable regulatory framework that promotes business dynamism and the efficient functioning of markets, plus efficient administrative procedures, and quality government services, are </w:t>
      </w:r>
      <w:r w:rsidRPr="001554A0">
        <w:rPr>
          <w:kern w:val="2"/>
          <w14:ligatures w14:val="standardContextual"/>
        </w:rPr>
        <w:lastRenderedPageBreak/>
        <w:t xml:space="preserve">important to accelerate productivity growth. </w:t>
      </w:r>
      <w:r w:rsidR="002B1A72">
        <w:rPr>
          <w:kern w:val="2"/>
          <w14:ligatures w14:val="standardContextual"/>
        </w:rPr>
        <w:t xml:space="preserve">As technological </w:t>
      </w:r>
      <w:r w:rsidR="4A4CAEE9">
        <w:rPr>
          <w:kern w:val="2"/>
          <w14:ligatures w14:val="standardContextual"/>
        </w:rPr>
        <w:t xml:space="preserve">progress </w:t>
      </w:r>
      <w:r w:rsidR="002B1A72">
        <w:rPr>
          <w:kern w:val="2"/>
          <w14:ligatures w14:val="standardContextual"/>
        </w:rPr>
        <w:t>advance</w:t>
      </w:r>
      <w:r w:rsidR="39E2BADD">
        <w:rPr>
          <w:kern w:val="2"/>
          <w14:ligatures w14:val="standardContextual"/>
        </w:rPr>
        <w:t>s</w:t>
      </w:r>
      <w:r w:rsidR="005716C4">
        <w:rPr>
          <w:kern w:val="2"/>
          <w14:ligatures w14:val="standardContextual"/>
        </w:rPr>
        <w:t>,</w:t>
      </w:r>
      <w:r w:rsidR="002B1A72">
        <w:rPr>
          <w:kern w:val="2"/>
          <w14:ligatures w14:val="standardContextual"/>
        </w:rPr>
        <w:t xml:space="preserve"> </w:t>
      </w:r>
      <w:r w:rsidR="00444BE6">
        <w:rPr>
          <w:kern w:val="2"/>
          <w14:ligatures w14:val="standardContextual"/>
        </w:rPr>
        <w:t>e.g.,</w:t>
      </w:r>
      <w:r w:rsidR="007E053D">
        <w:rPr>
          <w:kern w:val="2"/>
          <w14:ligatures w14:val="standardContextual"/>
        </w:rPr>
        <w:t xml:space="preserve"> the proliferation</w:t>
      </w:r>
      <w:r w:rsidR="00C6118F">
        <w:rPr>
          <w:kern w:val="2"/>
          <w14:ligatures w14:val="standardContextual"/>
        </w:rPr>
        <w:t xml:space="preserve"> of Artificial Intelligence (AI), </w:t>
      </w:r>
      <w:r w:rsidR="002B1A72">
        <w:rPr>
          <w:kern w:val="2"/>
          <w14:ligatures w14:val="standardContextual"/>
        </w:rPr>
        <w:t xml:space="preserve">governments need to adapt </w:t>
      </w:r>
      <w:r w:rsidR="009C4540">
        <w:rPr>
          <w:kern w:val="2"/>
          <w14:ligatures w14:val="standardContextual"/>
        </w:rPr>
        <w:t xml:space="preserve">the regulatory framework to new </w:t>
      </w:r>
      <w:r w:rsidR="0040169A">
        <w:rPr>
          <w:kern w:val="2"/>
          <w14:ligatures w14:val="standardContextual"/>
        </w:rPr>
        <w:t xml:space="preserve">business </w:t>
      </w:r>
      <w:r w:rsidR="009C4540">
        <w:rPr>
          <w:kern w:val="2"/>
          <w14:ligatures w14:val="standardContextual"/>
        </w:rPr>
        <w:t>activities</w:t>
      </w:r>
      <w:r w:rsidR="00C6118F">
        <w:rPr>
          <w:kern w:val="2"/>
          <w14:ligatures w14:val="standardContextual"/>
        </w:rPr>
        <w:t xml:space="preserve">. </w:t>
      </w:r>
      <w:r w:rsidRPr="001554A0">
        <w:rPr>
          <w:kern w:val="2"/>
          <w14:ligatures w14:val="standardContextual"/>
        </w:rPr>
        <w:t xml:space="preserve">Finally, the global climate crisis and </w:t>
      </w:r>
      <w:r w:rsidR="00AA32E4">
        <w:rPr>
          <w:kern w:val="2"/>
          <w14:ligatures w14:val="standardContextual"/>
        </w:rPr>
        <w:t xml:space="preserve">the need for </w:t>
      </w:r>
      <w:r w:rsidRPr="001554A0">
        <w:rPr>
          <w:kern w:val="2"/>
          <w14:ligatures w14:val="standardContextual"/>
        </w:rPr>
        <w:t>greening industries also require policies and regulations that motivate firm decision-making in line with these objectives.</w:t>
      </w:r>
      <w:r w:rsidRPr="001554A0">
        <w:rPr>
          <w:kern w:val="2"/>
          <w:vertAlign w:val="superscript"/>
          <w14:ligatures w14:val="standardContextual"/>
        </w:rPr>
        <w:footnoteReference w:id="14"/>
      </w:r>
      <w:r w:rsidRPr="001554A0">
        <w:rPr>
          <w:kern w:val="2"/>
          <w14:ligatures w14:val="standardContextual"/>
        </w:rPr>
        <w:t xml:space="preserve"> </w:t>
      </w:r>
    </w:p>
    <w:p w14:paraId="2D90F7A9" w14:textId="34E88F6D" w:rsidR="00E81BE7" w:rsidRDefault="00E81BE7" w:rsidP="4E68FC03">
      <w:pPr>
        <w:jc w:val="both"/>
        <w:rPr>
          <w:b/>
          <w:bCs/>
        </w:rPr>
      </w:pPr>
      <w:r w:rsidRPr="00AA6635">
        <w:rPr>
          <w:b/>
          <w:bCs/>
          <w:kern w:val="2"/>
          <w14:ligatures w14:val="standardContextual"/>
        </w:rPr>
        <w:t xml:space="preserve">Viet Nam has undertaken several waves of regulatory </w:t>
      </w:r>
      <w:r w:rsidR="00FD2AC7" w:rsidRPr="00FD2AC7">
        <w:rPr>
          <w:b/>
          <w:bCs/>
          <w:kern w:val="2"/>
          <w14:ligatures w14:val="standardContextual"/>
        </w:rPr>
        <w:t>reform,</w:t>
      </w:r>
      <w:r w:rsidRPr="00AA6635">
        <w:rPr>
          <w:b/>
          <w:bCs/>
          <w:kern w:val="2"/>
          <w14:ligatures w14:val="standardContextual"/>
        </w:rPr>
        <w:t xml:space="preserve"> </w:t>
      </w:r>
      <w:r w:rsidR="001E1071" w:rsidRPr="00AA6635">
        <w:rPr>
          <w:b/>
          <w:bCs/>
          <w:kern w:val="2"/>
          <w14:ligatures w14:val="standardContextual"/>
        </w:rPr>
        <w:t>but</w:t>
      </w:r>
      <w:r w:rsidRPr="00AA6635">
        <w:rPr>
          <w:b/>
          <w:bCs/>
          <w:kern w:val="2"/>
          <w14:ligatures w14:val="standardContextual"/>
        </w:rPr>
        <w:t xml:space="preserve"> </w:t>
      </w:r>
      <w:r w:rsidR="00A25C05" w:rsidRPr="00AA6635">
        <w:rPr>
          <w:b/>
          <w:bCs/>
          <w:kern w:val="2"/>
          <w14:ligatures w14:val="standardContextual"/>
        </w:rPr>
        <w:t xml:space="preserve">regulatory quality is still one of the top </w:t>
      </w:r>
      <w:r w:rsidR="00E904CD" w:rsidRPr="00AA6635">
        <w:rPr>
          <w:b/>
          <w:bCs/>
          <w:kern w:val="2"/>
          <w14:ligatures w14:val="standardContextual"/>
        </w:rPr>
        <w:t>concern</w:t>
      </w:r>
      <w:r w:rsidR="006C6A86">
        <w:rPr>
          <w:b/>
          <w:bCs/>
          <w:kern w:val="2"/>
          <w14:ligatures w14:val="standardContextual"/>
        </w:rPr>
        <w:t>s</w:t>
      </w:r>
      <w:r w:rsidR="00E904CD" w:rsidRPr="00AA6635">
        <w:rPr>
          <w:b/>
          <w:bCs/>
          <w:kern w:val="2"/>
          <w14:ligatures w14:val="standardContextual"/>
        </w:rPr>
        <w:t xml:space="preserve"> of the business communities</w:t>
      </w:r>
      <w:r w:rsidR="001E1071">
        <w:rPr>
          <w:kern w:val="2"/>
          <w14:ligatures w14:val="standardContextual"/>
        </w:rPr>
        <w:t>.</w:t>
      </w:r>
      <w:r w:rsidR="00E904CD">
        <w:rPr>
          <w:kern w:val="2"/>
          <w14:ligatures w14:val="standardContextual"/>
        </w:rPr>
        <w:t xml:space="preserve"> </w:t>
      </w:r>
      <w:r w:rsidR="00003DDA">
        <w:rPr>
          <w:kern w:val="2"/>
          <w14:ligatures w14:val="standardContextual"/>
        </w:rPr>
        <w:t xml:space="preserve">The current </w:t>
      </w:r>
      <w:r w:rsidR="00C600CD">
        <w:rPr>
          <w:kern w:val="2"/>
          <w14:ligatures w14:val="standardContextual"/>
        </w:rPr>
        <w:t xml:space="preserve">five-year </w:t>
      </w:r>
      <w:r w:rsidR="00C0590E">
        <w:rPr>
          <w:kern w:val="2"/>
          <w14:ligatures w14:val="standardContextual"/>
        </w:rPr>
        <w:t>regulatory reform program</w:t>
      </w:r>
      <w:r w:rsidR="00003DDA">
        <w:rPr>
          <w:kern w:val="2"/>
          <w14:ligatures w14:val="standardContextual"/>
        </w:rPr>
        <w:t xml:space="preserve"> is governed by Resolution </w:t>
      </w:r>
      <w:r w:rsidR="00570435">
        <w:rPr>
          <w:kern w:val="2"/>
          <w14:ligatures w14:val="standardContextual"/>
        </w:rPr>
        <w:t>68 and</w:t>
      </w:r>
      <w:r w:rsidR="00E749B7">
        <w:rPr>
          <w:kern w:val="2"/>
          <w14:ligatures w14:val="standardContextual"/>
        </w:rPr>
        <w:t xml:space="preserve"> aims to simplify or reduce business regulations and cut compliance costs by 20 percent </w:t>
      </w:r>
      <w:r w:rsidR="00C600CD">
        <w:rPr>
          <w:kern w:val="2"/>
          <w14:ligatures w14:val="standardContextual"/>
        </w:rPr>
        <w:t xml:space="preserve">by 2025. </w:t>
      </w:r>
      <w:r w:rsidR="00A73442">
        <w:rPr>
          <w:kern w:val="2"/>
          <w14:ligatures w14:val="standardContextual"/>
        </w:rPr>
        <w:t>Th</w:t>
      </w:r>
      <w:r w:rsidR="00857BE1">
        <w:rPr>
          <w:kern w:val="2"/>
          <w14:ligatures w14:val="standardContextual"/>
        </w:rPr>
        <w:t>is is important as the</w:t>
      </w:r>
      <w:r w:rsidR="00A73442">
        <w:rPr>
          <w:kern w:val="2"/>
          <w14:ligatures w14:val="standardContextual"/>
        </w:rPr>
        <w:t xml:space="preserve"> </w:t>
      </w:r>
      <w:r w:rsidR="00A84DFD">
        <w:rPr>
          <w:kern w:val="2"/>
          <w14:ligatures w14:val="standardContextual"/>
        </w:rPr>
        <w:t xml:space="preserve">percentage of firms in Viet Nam that consider </w:t>
      </w:r>
      <w:r w:rsidR="000E10BF">
        <w:rPr>
          <w:kern w:val="2"/>
          <w14:ligatures w14:val="standardContextual"/>
        </w:rPr>
        <w:t xml:space="preserve">business licenses and permits as a </w:t>
      </w:r>
      <w:r w:rsidR="003941DE">
        <w:rPr>
          <w:kern w:val="2"/>
          <w14:ligatures w14:val="standardContextual"/>
        </w:rPr>
        <w:t>constraint</w:t>
      </w:r>
      <w:r w:rsidR="000E10BF">
        <w:rPr>
          <w:kern w:val="2"/>
          <w14:ligatures w14:val="standardContextual"/>
        </w:rPr>
        <w:t xml:space="preserve"> to their operations is higher that </w:t>
      </w:r>
      <w:r w:rsidR="0098262A">
        <w:rPr>
          <w:kern w:val="2"/>
          <w14:ligatures w14:val="standardContextual"/>
        </w:rPr>
        <w:t>the regional average</w:t>
      </w:r>
      <w:r w:rsidR="00C247B5">
        <w:rPr>
          <w:kern w:val="2"/>
          <w14:ligatures w14:val="standardContextual"/>
        </w:rPr>
        <w:t>.</w:t>
      </w:r>
      <w:r w:rsidR="00710810">
        <w:rPr>
          <w:rStyle w:val="FootnoteReference"/>
          <w:kern w:val="2"/>
          <w14:ligatures w14:val="standardContextual"/>
        </w:rPr>
        <w:footnoteReference w:id="15"/>
      </w:r>
      <w:r w:rsidR="00C247B5">
        <w:rPr>
          <w:kern w:val="2"/>
          <w14:ligatures w14:val="standardContextual"/>
        </w:rPr>
        <w:t xml:space="preserve"> </w:t>
      </w:r>
      <w:r w:rsidR="006D7BE5">
        <w:rPr>
          <w:kern w:val="2"/>
          <w14:ligatures w14:val="standardContextual"/>
        </w:rPr>
        <w:t>Sixty-five</w:t>
      </w:r>
      <w:r w:rsidR="00D861C5">
        <w:rPr>
          <w:kern w:val="2"/>
          <w14:ligatures w14:val="standardContextual"/>
        </w:rPr>
        <w:t xml:space="preserve"> </w:t>
      </w:r>
      <w:r w:rsidR="00DE399A">
        <w:rPr>
          <w:kern w:val="2"/>
          <w14:ligatures w14:val="standardContextual"/>
        </w:rPr>
        <w:t xml:space="preserve">percent </w:t>
      </w:r>
      <w:r w:rsidR="00D861C5">
        <w:rPr>
          <w:kern w:val="2"/>
          <w14:ligatures w14:val="standardContextual"/>
        </w:rPr>
        <w:t xml:space="preserve">of participants in a startup survey report that business regulations </w:t>
      </w:r>
      <w:r w:rsidR="00EC1CA4">
        <w:rPr>
          <w:kern w:val="2"/>
          <w14:ligatures w14:val="standardContextual"/>
        </w:rPr>
        <w:t>are</w:t>
      </w:r>
      <w:r w:rsidR="00510585">
        <w:rPr>
          <w:kern w:val="2"/>
          <w14:ligatures w14:val="standardContextual"/>
        </w:rPr>
        <w:t xml:space="preserve"> a challenge for them.</w:t>
      </w:r>
      <w:r w:rsidR="00742644">
        <w:rPr>
          <w:rStyle w:val="FootnoteReference"/>
          <w:kern w:val="2"/>
          <w14:ligatures w14:val="standardContextual"/>
        </w:rPr>
        <w:footnoteReference w:id="16"/>
      </w:r>
      <w:r w:rsidR="00CC09A7">
        <w:rPr>
          <w:kern w:val="2"/>
          <w14:ligatures w14:val="standardContextual"/>
        </w:rPr>
        <w:t xml:space="preserve"> </w:t>
      </w:r>
      <w:r w:rsidR="00740DAC">
        <w:rPr>
          <w:kern w:val="2"/>
          <w14:ligatures w14:val="standardContextual"/>
        </w:rPr>
        <w:t>According to the World Bank Governance Indicators, Vietn</w:t>
      </w:r>
      <w:r w:rsidR="009F7C5F">
        <w:rPr>
          <w:kern w:val="2"/>
          <w14:ligatures w14:val="standardContextual"/>
        </w:rPr>
        <w:t>a</w:t>
      </w:r>
      <w:r w:rsidR="00740DAC">
        <w:rPr>
          <w:kern w:val="2"/>
          <w14:ligatures w14:val="standardContextual"/>
        </w:rPr>
        <w:t xml:space="preserve">mese score for </w:t>
      </w:r>
      <w:r w:rsidR="009F7C5F">
        <w:rPr>
          <w:kern w:val="2"/>
          <w14:ligatures w14:val="standardContextual"/>
        </w:rPr>
        <w:t>R</w:t>
      </w:r>
      <w:r w:rsidR="00740DAC">
        <w:rPr>
          <w:kern w:val="2"/>
          <w14:ligatures w14:val="standardContextual"/>
        </w:rPr>
        <w:t xml:space="preserve">egulatory </w:t>
      </w:r>
      <w:r w:rsidR="00E903CC">
        <w:rPr>
          <w:kern w:val="2"/>
          <w14:ligatures w14:val="standardContextual"/>
        </w:rPr>
        <w:t>Q</w:t>
      </w:r>
      <w:r w:rsidR="00740DAC">
        <w:rPr>
          <w:kern w:val="2"/>
          <w14:ligatures w14:val="standardContextual"/>
        </w:rPr>
        <w:t xml:space="preserve">uality is still lower than some regional peers such as </w:t>
      </w:r>
      <w:r w:rsidR="00F625DB">
        <w:rPr>
          <w:kern w:val="2"/>
          <w14:ligatures w14:val="standardContextual"/>
        </w:rPr>
        <w:t xml:space="preserve">Indonesia, Malaysia, </w:t>
      </w:r>
      <w:r w:rsidR="00972514">
        <w:rPr>
          <w:kern w:val="2"/>
          <w14:ligatures w14:val="standardContextual"/>
        </w:rPr>
        <w:t>Thailand,</w:t>
      </w:r>
      <w:r w:rsidR="00497B4F">
        <w:rPr>
          <w:kern w:val="2"/>
          <w14:ligatures w14:val="standardContextual"/>
        </w:rPr>
        <w:t xml:space="preserve"> and Singapore</w:t>
      </w:r>
      <w:r w:rsidR="005953ED">
        <w:rPr>
          <w:rStyle w:val="FootnoteReference"/>
          <w:kern w:val="2"/>
          <w14:ligatures w14:val="standardContextual"/>
        </w:rPr>
        <w:footnoteReference w:id="17"/>
      </w:r>
      <w:r w:rsidR="00927FF7">
        <w:rPr>
          <w:kern w:val="2"/>
          <w14:ligatures w14:val="standardContextual"/>
        </w:rPr>
        <w:t xml:space="preserve"> </w:t>
      </w:r>
      <w:r w:rsidR="00BF13E6">
        <w:rPr>
          <w:kern w:val="2"/>
          <w14:ligatures w14:val="standardContextual"/>
        </w:rPr>
        <w:t xml:space="preserve">Therefore, regulatory reform, as part of a broader institutional reform agenda, </w:t>
      </w:r>
      <w:r w:rsidR="00813D7E">
        <w:rPr>
          <w:kern w:val="2"/>
          <w14:ligatures w14:val="standardContextual"/>
        </w:rPr>
        <w:t xml:space="preserve">is considered one of three priority reform areas </w:t>
      </w:r>
      <w:r w:rsidR="001657C8">
        <w:rPr>
          <w:kern w:val="2"/>
          <w14:ligatures w14:val="standardContextual"/>
        </w:rPr>
        <w:t>in the Soci</w:t>
      </w:r>
      <w:r w:rsidR="0078068F">
        <w:rPr>
          <w:kern w:val="2"/>
          <w14:ligatures w14:val="standardContextual"/>
        </w:rPr>
        <w:t xml:space="preserve">o-Economic Development Strategy for </w:t>
      </w:r>
      <w:r w:rsidR="00E23136">
        <w:rPr>
          <w:kern w:val="2"/>
          <w14:ligatures w14:val="standardContextual"/>
        </w:rPr>
        <w:t xml:space="preserve">the ten years 2021-2030. </w:t>
      </w:r>
    </w:p>
    <w:p w14:paraId="5EF506FF" w14:textId="3049A0FB" w:rsidR="001554A0" w:rsidRPr="001554A0" w:rsidRDefault="001554A0" w:rsidP="001554A0">
      <w:pPr>
        <w:jc w:val="both"/>
      </w:pPr>
      <w:r w:rsidRPr="001554A0">
        <w:rPr>
          <w:b/>
          <w:bCs/>
          <w:kern w:val="2"/>
          <w14:ligatures w14:val="standardContextual"/>
        </w:rPr>
        <w:t xml:space="preserve">This report </w:t>
      </w:r>
      <w:r w:rsidR="00883325" w:rsidRPr="00883325">
        <w:rPr>
          <w:b/>
          <w:bCs/>
          <w:kern w:val="2"/>
          <w14:ligatures w14:val="standardContextual"/>
        </w:rPr>
        <w:t>assesses the implementation progress of Resolution 68 at mid-term (2020-2023) and identifies strengths and areas of improvement to achieve its objectives in the short term, and to continue developing the regulatory environment conducive to business dynamism and productivity growth in Viet Nam in the medium term</w:t>
      </w:r>
      <w:r w:rsidR="007B6150">
        <w:rPr>
          <w:b/>
          <w:bCs/>
          <w:kern w:val="2"/>
          <w14:ligatures w14:val="standardContextual"/>
        </w:rPr>
        <w:t xml:space="preserve">. </w:t>
      </w:r>
      <w:r w:rsidR="007B6150" w:rsidRPr="00925C0B">
        <w:rPr>
          <w:kern w:val="2"/>
          <w14:ligatures w14:val="standardContextual"/>
        </w:rPr>
        <w:t>It</w:t>
      </w:r>
      <w:r w:rsidRPr="00925C0B">
        <w:rPr>
          <w:kern w:val="2"/>
          <w14:ligatures w14:val="standardContextual"/>
        </w:rPr>
        <w:t xml:space="preserve"> aims to inform Viet Nam’s approach towards </w:t>
      </w:r>
      <w:r w:rsidR="56596C7D" w:rsidRPr="00925C0B">
        <w:rPr>
          <w:kern w:val="2"/>
          <w14:ligatures w14:val="standardContextual"/>
        </w:rPr>
        <w:t>mitigating</w:t>
      </w:r>
      <w:r w:rsidRPr="00925C0B">
        <w:rPr>
          <w:kern w:val="2"/>
          <w14:ligatures w14:val="standardContextual"/>
        </w:rPr>
        <w:t xml:space="preserve"> the </w:t>
      </w:r>
      <w:r w:rsidR="56596C7D" w:rsidRPr="00925C0B">
        <w:rPr>
          <w:kern w:val="2"/>
          <w14:ligatures w14:val="standardContextual"/>
        </w:rPr>
        <w:t xml:space="preserve">existing challenges and </w:t>
      </w:r>
      <w:r w:rsidRPr="00925C0B">
        <w:rPr>
          <w:kern w:val="2"/>
          <w14:ligatures w14:val="standardContextual"/>
        </w:rPr>
        <w:t>improving the business regulatory environment.</w:t>
      </w:r>
      <w:r w:rsidRPr="001554A0">
        <w:rPr>
          <w:b/>
          <w:bCs/>
          <w:kern w:val="2"/>
          <w14:ligatures w14:val="standardContextual"/>
        </w:rPr>
        <w:t xml:space="preserve"> </w:t>
      </w:r>
      <w:r w:rsidRPr="001554A0">
        <w:rPr>
          <w:kern w:val="2"/>
          <w14:ligatures w14:val="standardContextual"/>
        </w:rPr>
        <w:t xml:space="preserve">It provides analytical insights to identify opportunities to improve </w:t>
      </w:r>
      <w:r w:rsidR="007860E4">
        <w:rPr>
          <w:kern w:val="2"/>
          <w14:ligatures w14:val="standardContextual"/>
        </w:rPr>
        <w:t xml:space="preserve">the </w:t>
      </w:r>
      <w:r w:rsidR="00E52DCC">
        <w:rPr>
          <w:kern w:val="2"/>
          <w14:ligatures w14:val="standardContextual"/>
        </w:rPr>
        <w:t xml:space="preserve">approach to regulatory reform </w:t>
      </w:r>
      <w:r w:rsidRPr="001554A0">
        <w:rPr>
          <w:kern w:val="2"/>
          <w14:ligatures w14:val="standardContextual"/>
        </w:rPr>
        <w:t xml:space="preserve">to </w:t>
      </w:r>
      <w:r w:rsidR="00DD4EE0" w:rsidRPr="001554A0">
        <w:rPr>
          <w:kern w:val="2"/>
          <w14:ligatures w14:val="standardContextual"/>
        </w:rPr>
        <w:t>reduce the cost</w:t>
      </w:r>
      <w:r w:rsidR="00DD4EE0">
        <w:rPr>
          <w:kern w:val="2"/>
          <w14:ligatures w14:val="standardContextual"/>
        </w:rPr>
        <w:t xml:space="preserve"> and risk</w:t>
      </w:r>
      <w:r w:rsidR="00DD4EE0" w:rsidRPr="001554A0">
        <w:rPr>
          <w:kern w:val="2"/>
          <w14:ligatures w14:val="standardContextual"/>
        </w:rPr>
        <w:t xml:space="preserve"> </w:t>
      </w:r>
      <w:r w:rsidR="00DD4EE0">
        <w:rPr>
          <w:kern w:val="2"/>
          <w14:ligatures w14:val="standardContextual"/>
        </w:rPr>
        <w:t>for</w:t>
      </w:r>
      <w:r w:rsidR="00DD4EE0" w:rsidRPr="001554A0">
        <w:rPr>
          <w:kern w:val="2"/>
          <w14:ligatures w14:val="standardContextual"/>
        </w:rPr>
        <w:t xml:space="preserve"> business</w:t>
      </w:r>
      <w:r w:rsidR="00DD4EE0">
        <w:rPr>
          <w:kern w:val="2"/>
          <w14:ligatures w14:val="standardContextual"/>
        </w:rPr>
        <w:t>es</w:t>
      </w:r>
      <w:r w:rsidR="009F608F">
        <w:rPr>
          <w:kern w:val="2"/>
          <w14:ligatures w14:val="standardContextual"/>
        </w:rPr>
        <w:t xml:space="preserve"> </w:t>
      </w:r>
      <w:r w:rsidR="000835A3">
        <w:rPr>
          <w:kern w:val="2"/>
          <w14:ligatures w14:val="standardContextual"/>
        </w:rPr>
        <w:t>and</w:t>
      </w:r>
      <w:r w:rsidR="009F608F">
        <w:rPr>
          <w:kern w:val="2"/>
          <w14:ligatures w14:val="standardContextual"/>
        </w:rPr>
        <w:t xml:space="preserve"> </w:t>
      </w:r>
      <w:r w:rsidRPr="001554A0">
        <w:rPr>
          <w:kern w:val="2"/>
          <w14:ligatures w14:val="standardContextual"/>
        </w:rPr>
        <w:t xml:space="preserve">promote </w:t>
      </w:r>
      <w:r w:rsidR="00B43A8C">
        <w:rPr>
          <w:kern w:val="2"/>
          <w14:ligatures w14:val="standardContextual"/>
        </w:rPr>
        <w:t>productive investment</w:t>
      </w:r>
      <w:r w:rsidR="00FC15DB">
        <w:rPr>
          <w:kern w:val="2"/>
          <w14:ligatures w14:val="standardContextual"/>
        </w:rPr>
        <w:t>s</w:t>
      </w:r>
      <w:r w:rsidR="00227796">
        <w:rPr>
          <w:kern w:val="2"/>
          <w14:ligatures w14:val="standardContextual"/>
        </w:rPr>
        <w:t xml:space="preserve">. Improved regulations </w:t>
      </w:r>
      <w:r w:rsidR="007255E7">
        <w:rPr>
          <w:kern w:val="2"/>
          <w14:ligatures w14:val="standardContextual"/>
        </w:rPr>
        <w:t>enabl</w:t>
      </w:r>
      <w:r w:rsidR="00774AA6">
        <w:rPr>
          <w:kern w:val="2"/>
          <w14:ligatures w14:val="standardContextual"/>
        </w:rPr>
        <w:t>e</w:t>
      </w:r>
      <w:r w:rsidR="007255E7">
        <w:rPr>
          <w:kern w:val="2"/>
          <w14:ligatures w14:val="standardContextual"/>
        </w:rPr>
        <w:t xml:space="preserve"> invest</w:t>
      </w:r>
      <w:r w:rsidR="000835A3">
        <w:rPr>
          <w:kern w:val="2"/>
          <w14:ligatures w14:val="standardContextual"/>
        </w:rPr>
        <w:t xml:space="preserve">ments </w:t>
      </w:r>
      <w:r w:rsidR="007255E7">
        <w:rPr>
          <w:kern w:val="2"/>
          <w14:ligatures w14:val="standardContextual"/>
        </w:rPr>
        <w:t>in new firms</w:t>
      </w:r>
      <w:r w:rsidR="003E42B6">
        <w:rPr>
          <w:kern w:val="2"/>
          <w14:ligatures w14:val="standardContextual"/>
        </w:rPr>
        <w:t xml:space="preserve"> and</w:t>
      </w:r>
      <w:r w:rsidR="007255E7">
        <w:rPr>
          <w:kern w:val="2"/>
          <w14:ligatures w14:val="standardContextual"/>
        </w:rPr>
        <w:t xml:space="preserve"> </w:t>
      </w:r>
      <w:r w:rsidRPr="001554A0">
        <w:rPr>
          <w:kern w:val="2"/>
          <w14:ligatures w14:val="standardContextual"/>
        </w:rPr>
        <w:t>scal</w:t>
      </w:r>
      <w:r w:rsidR="00774AA6">
        <w:rPr>
          <w:kern w:val="2"/>
          <w14:ligatures w14:val="standardContextual"/>
        </w:rPr>
        <w:t>e</w:t>
      </w:r>
      <w:r w:rsidRPr="001554A0">
        <w:rPr>
          <w:kern w:val="2"/>
          <w14:ligatures w14:val="standardContextual"/>
        </w:rPr>
        <w:t xml:space="preserve"> up </w:t>
      </w:r>
      <w:r w:rsidR="00CC0676">
        <w:rPr>
          <w:kern w:val="2"/>
          <w14:ligatures w14:val="standardContextual"/>
        </w:rPr>
        <w:t xml:space="preserve">investments in </w:t>
      </w:r>
      <w:r w:rsidR="0010351D">
        <w:rPr>
          <w:kern w:val="2"/>
          <w14:ligatures w14:val="standardContextual"/>
        </w:rPr>
        <w:t>exist</w:t>
      </w:r>
      <w:r w:rsidR="001B230E">
        <w:rPr>
          <w:kern w:val="2"/>
          <w14:ligatures w14:val="standardContextual"/>
        </w:rPr>
        <w:t>ing firms</w:t>
      </w:r>
      <w:r w:rsidRPr="001554A0">
        <w:rPr>
          <w:kern w:val="2"/>
          <w14:ligatures w14:val="standardContextual"/>
        </w:rPr>
        <w:t>, with an overarching objective to contribute to more efficient allocation of resources to more productive firms, a key condition for achieving the ambitious V</w:t>
      </w:r>
      <w:r w:rsidR="00543F3B">
        <w:rPr>
          <w:kern w:val="2"/>
          <w14:ligatures w14:val="standardContextual"/>
        </w:rPr>
        <w:t xml:space="preserve">iet </w:t>
      </w:r>
      <w:r w:rsidRPr="001554A0">
        <w:rPr>
          <w:kern w:val="2"/>
          <w14:ligatures w14:val="standardContextual"/>
        </w:rPr>
        <w:t>N</w:t>
      </w:r>
      <w:r w:rsidR="00543F3B">
        <w:rPr>
          <w:kern w:val="2"/>
          <w14:ligatures w14:val="standardContextual"/>
        </w:rPr>
        <w:t>am</w:t>
      </w:r>
      <w:r w:rsidRPr="001554A0">
        <w:rPr>
          <w:kern w:val="2"/>
          <w14:ligatures w14:val="standardContextual"/>
        </w:rPr>
        <w:t xml:space="preserve"> 2045 high income objective. By focusing on business regulations, it complements other studies, including by the World Bank, that have looked at private sector contribution and opportunities, entrepreneurship, and technology adoption.</w:t>
      </w:r>
      <w:r w:rsidRPr="001554A0">
        <w:rPr>
          <w:kern w:val="2"/>
          <w:vertAlign w:val="superscript"/>
          <w14:ligatures w14:val="standardContextual"/>
        </w:rPr>
        <w:footnoteReference w:id="18"/>
      </w:r>
      <w:r w:rsidRPr="001554A0">
        <w:rPr>
          <w:kern w:val="2"/>
          <w14:ligatures w14:val="standardContextual"/>
        </w:rPr>
        <w:t xml:space="preserve"> </w:t>
      </w:r>
    </w:p>
    <w:p w14:paraId="0134BB6E" w14:textId="1613414C" w:rsidR="003941DE" w:rsidRDefault="001554A0" w:rsidP="00925C0B">
      <w:pPr>
        <w:jc w:val="both"/>
        <w:rPr>
          <w:kern w:val="2"/>
          <w14:ligatures w14:val="standardContextual"/>
        </w:rPr>
      </w:pPr>
      <w:r w:rsidRPr="001554A0">
        <w:rPr>
          <w:b/>
          <w:bCs/>
          <w:kern w:val="2"/>
          <w14:ligatures w14:val="standardContextual"/>
        </w:rPr>
        <w:t xml:space="preserve">This report is organized in </w:t>
      </w:r>
      <w:r w:rsidR="009B27C4">
        <w:rPr>
          <w:b/>
          <w:bCs/>
          <w:kern w:val="2"/>
          <w14:ligatures w14:val="standardContextual"/>
        </w:rPr>
        <w:t>five</w:t>
      </w:r>
      <w:r w:rsidR="009B27C4" w:rsidRPr="001554A0">
        <w:rPr>
          <w:b/>
          <w:bCs/>
          <w:kern w:val="2"/>
          <w14:ligatures w14:val="standardContextual"/>
        </w:rPr>
        <w:t xml:space="preserve"> </w:t>
      </w:r>
      <w:r w:rsidRPr="001554A0">
        <w:rPr>
          <w:b/>
          <w:bCs/>
          <w:kern w:val="2"/>
          <w14:ligatures w14:val="standardContextual"/>
        </w:rPr>
        <w:t>sections.</w:t>
      </w:r>
      <w:r w:rsidRPr="001554A0">
        <w:rPr>
          <w:kern w:val="2"/>
          <w14:ligatures w14:val="standardContextual"/>
        </w:rPr>
        <w:t xml:space="preserve"> Section II </w:t>
      </w:r>
      <w:r w:rsidR="009B27C4">
        <w:rPr>
          <w:kern w:val="2"/>
          <w14:ligatures w14:val="standardContextual"/>
        </w:rPr>
        <w:t xml:space="preserve">describes </w:t>
      </w:r>
      <w:r w:rsidR="00A2754E">
        <w:rPr>
          <w:kern w:val="2"/>
          <w14:ligatures w14:val="standardContextual"/>
        </w:rPr>
        <w:t xml:space="preserve">the methodology and data sources used in the report. Section III </w:t>
      </w:r>
      <w:r w:rsidRPr="001554A0">
        <w:rPr>
          <w:kern w:val="2"/>
          <w14:ligatures w14:val="standardContextual"/>
        </w:rPr>
        <w:t xml:space="preserve">provides the analytical underpinnings to identify priorities for regulatory reforms. It sets the stage by </w:t>
      </w:r>
      <w:r w:rsidR="00FF7D9A">
        <w:rPr>
          <w:kern w:val="2"/>
          <w14:ligatures w14:val="standardContextual"/>
        </w:rPr>
        <w:t>providing</w:t>
      </w:r>
      <w:r w:rsidR="00FF7D9A" w:rsidRPr="001554A0">
        <w:rPr>
          <w:kern w:val="2"/>
          <w14:ligatures w14:val="standardContextual"/>
        </w:rPr>
        <w:t xml:space="preserve"> </w:t>
      </w:r>
      <w:r w:rsidR="00FF7D9A" w:rsidRPr="00FF7D9A">
        <w:rPr>
          <w:kern w:val="2"/>
          <w14:ligatures w14:val="standardContextual"/>
        </w:rPr>
        <w:t xml:space="preserve">evidence on the </w:t>
      </w:r>
      <w:r w:rsidR="002C0EEA">
        <w:rPr>
          <w:kern w:val="2"/>
          <w14:ligatures w14:val="standardContextual"/>
        </w:rPr>
        <w:t>Viet Nam</w:t>
      </w:r>
      <w:r w:rsidR="00FF7D9A" w:rsidRPr="00FF7D9A">
        <w:rPr>
          <w:kern w:val="2"/>
          <w14:ligatures w14:val="standardContextual"/>
        </w:rPr>
        <w:t>’s productivity performance and its relationship with productivity growth</w:t>
      </w:r>
      <w:r w:rsidR="00751AA6">
        <w:rPr>
          <w:kern w:val="2"/>
          <w14:ligatures w14:val="standardContextual"/>
        </w:rPr>
        <w:t xml:space="preserve">. It </w:t>
      </w:r>
      <w:r w:rsidRPr="001554A0">
        <w:rPr>
          <w:kern w:val="2"/>
          <w14:ligatures w14:val="standardContextual"/>
        </w:rPr>
        <w:t xml:space="preserve">then identifies the </w:t>
      </w:r>
      <w:r w:rsidR="00A4679B" w:rsidRPr="00A4679B">
        <w:rPr>
          <w:kern w:val="2"/>
          <w14:ligatures w14:val="standardContextual"/>
        </w:rPr>
        <w:t xml:space="preserve">key priority areas for </w:t>
      </w:r>
      <w:r w:rsidR="00A4679B">
        <w:rPr>
          <w:kern w:val="2"/>
          <w14:ligatures w14:val="standardContextual"/>
        </w:rPr>
        <w:t xml:space="preserve">policy </w:t>
      </w:r>
      <w:r w:rsidR="00A4679B" w:rsidRPr="00A4679B">
        <w:rPr>
          <w:kern w:val="2"/>
          <w14:ligatures w14:val="standardContextual"/>
        </w:rPr>
        <w:t>interventions</w:t>
      </w:r>
      <w:r w:rsidRPr="001554A0">
        <w:rPr>
          <w:kern w:val="2"/>
          <w14:ligatures w14:val="standardContextual"/>
        </w:rPr>
        <w:t xml:space="preserve">, </w:t>
      </w:r>
      <w:r w:rsidR="00570435">
        <w:rPr>
          <w:kern w:val="2"/>
          <w14:ligatures w14:val="standardContextual"/>
        </w:rPr>
        <w:t xml:space="preserve">focusing </w:t>
      </w:r>
      <w:r w:rsidR="00570435" w:rsidRPr="001554A0">
        <w:rPr>
          <w:kern w:val="2"/>
          <w14:ligatures w14:val="standardContextual"/>
        </w:rPr>
        <w:t>on</w:t>
      </w:r>
      <w:r w:rsidR="0002425F">
        <w:rPr>
          <w:kern w:val="2"/>
          <w14:ligatures w14:val="standardContextual"/>
        </w:rPr>
        <w:t xml:space="preserve"> </w:t>
      </w:r>
      <w:r w:rsidRPr="001554A0">
        <w:rPr>
          <w:kern w:val="2"/>
          <w14:ligatures w14:val="standardContextual"/>
        </w:rPr>
        <w:t>the role of regulations, by analyzing firm level data.  Section I</w:t>
      </w:r>
      <w:r w:rsidR="00487889">
        <w:rPr>
          <w:kern w:val="2"/>
          <w14:ligatures w14:val="standardContextual"/>
        </w:rPr>
        <w:t>V</w:t>
      </w:r>
      <w:r w:rsidRPr="001554A0">
        <w:rPr>
          <w:kern w:val="2"/>
          <w14:ligatures w14:val="standardContextual"/>
        </w:rPr>
        <w:t xml:space="preserve"> assesses regulatory reform policy in Viet Nam, and specifically Resolution 68 of 2020. The assessment reviews the objectives of Resolution 68 and its approach vis-à-vis the priorities identified in section II. It also reviews implementation progress and results achieved in the first three years of implementation. Section V </w:t>
      </w:r>
      <w:r w:rsidR="00487889">
        <w:rPr>
          <w:kern w:val="2"/>
          <w14:ligatures w14:val="standardContextual"/>
        </w:rPr>
        <w:t xml:space="preserve">concludes </w:t>
      </w:r>
      <w:r w:rsidR="00F2119B">
        <w:rPr>
          <w:kern w:val="2"/>
          <w14:ligatures w14:val="standardContextual"/>
        </w:rPr>
        <w:t xml:space="preserve">and </w:t>
      </w:r>
      <w:r w:rsidRPr="001554A0">
        <w:rPr>
          <w:kern w:val="2"/>
          <w14:ligatures w14:val="standardContextual"/>
        </w:rPr>
        <w:t xml:space="preserve">provides pathways for improving business regulations moving forward. Based on the firm-data analysis of productivity, business dynamics and constraints, and the review of regulatory policy, it provides short- and medium-term </w:t>
      </w:r>
      <w:r w:rsidRPr="001554A0">
        <w:rPr>
          <w:kern w:val="2"/>
          <w14:ligatures w14:val="standardContextual"/>
        </w:rPr>
        <w:lastRenderedPageBreak/>
        <w:t xml:space="preserve">recommendations for </w:t>
      </w:r>
      <w:r w:rsidR="00456095">
        <w:rPr>
          <w:kern w:val="2"/>
          <w14:ligatures w14:val="standardContextual"/>
        </w:rPr>
        <w:t xml:space="preserve">strengthening the results of Resolution 68 and recommends </w:t>
      </w:r>
      <w:r w:rsidR="00B2058E">
        <w:rPr>
          <w:kern w:val="2"/>
          <w14:ligatures w14:val="standardContextual"/>
        </w:rPr>
        <w:t xml:space="preserve">an evolution </w:t>
      </w:r>
      <w:r w:rsidRPr="001554A0">
        <w:rPr>
          <w:kern w:val="2"/>
          <w14:ligatures w14:val="standardContextual"/>
        </w:rPr>
        <w:t xml:space="preserve">of Viet Nam’s approach to </w:t>
      </w:r>
      <w:r w:rsidR="00B2058E">
        <w:rPr>
          <w:kern w:val="2"/>
          <w14:ligatures w14:val="standardContextual"/>
        </w:rPr>
        <w:t xml:space="preserve">reform </w:t>
      </w:r>
      <w:r w:rsidRPr="001554A0">
        <w:rPr>
          <w:kern w:val="2"/>
          <w14:ligatures w14:val="standardContextual"/>
        </w:rPr>
        <w:t>business regulations</w:t>
      </w:r>
      <w:r w:rsidR="00B2058E">
        <w:rPr>
          <w:kern w:val="2"/>
          <w14:ligatures w14:val="standardContextual"/>
        </w:rPr>
        <w:t xml:space="preserve"> in the next </w:t>
      </w:r>
      <w:r w:rsidR="00A73801">
        <w:rPr>
          <w:kern w:val="2"/>
          <w14:ligatures w14:val="standardContextual"/>
        </w:rPr>
        <w:t>cycle (2026-2030)</w:t>
      </w:r>
      <w:r w:rsidRPr="001554A0">
        <w:rPr>
          <w:kern w:val="2"/>
          <w14:ligatures w14:val="standardContextual"/>
        </w:rPr>
        <w:t xml:space="preserve">.  </w:t>
      </w:r>
      <w:r w:rsidR="003941DE">
        <w:rPr>
          <w:kern w:val="2"/>
          <w14:ligatures w14:val="standardContextual"/>
        </w:rPr>
        <w:br w:type="page"/>
      </w:r>
    </w:p>
    <w:p w14:paraId="4B317A9F" w14:textId="3D9C0542" w:rsidR="001554A0" w:rsidRPr="00EE464D" w:rsidRDefault="003941DE" w:rsidP="00AA6635">
      <w:pPr>
        <w:pStyle w:val="Heading1"/>
      </w:pPr>
      <w:bookmarkStart w:id="9" w:name="_Toc175228079"/>
      <w:r w:rsidRPr="00EE464D">
        <w:lastRenderedPageBreak/>
        <w:t>Methodology</w:t>
      </w:r>
      <w:bookmarkEnd w:id="9"/>
    </w:p>
    <w:p w14:paraId="31C27DE6" w14:textId="77777777" w:rsidR="0077679B" w:rsidRDefault="0077679B" w:rsidP="00707CAA">
      <w:pPr>
        <w:jc w:val="both"/>
        <w:rPr>
          <w:b/>
          <w:bCs/>
          <w:kern w:val="2"/>
          <w14:ligatures w14:val="standardContextual"/>
        </w:rPr>
      </w:pPr>
    </w:p>
    <w:p w14:paraId="29E2B8A8" w14:textId="223D11D9" w:rsidR="00151287" w:rsidRDefault="001554A0" w:rsidP="00707CAA">
      <w:pPr>
        <w:jc w:val="both"/>
        <w:rPr>
          <w:b/>
          <w:bCs/>
          <w:kern w:val="2"/>
          <w14:ligatures w14:val="standardContextual"/>
        </w:rPr>
      </w:pPr>
      <w:r w:rsidRPr="001554A0">
        <w:rPr>
          <w:b/>
          <w:bCs/>
          <w:kern w:val="2"/>
          <w14:ligatures w14:val="standardContextual"/>
        </w:rPr>
        <w:t xml:space="preserve">The report combines quantitative and qualitative analysis, including country consultations and the </w:t>
      </w:r>
      <w:r w:rsidR="00016207">
        <w:rPr>
          <w:b/>
          <w:bCs/>
          <w:kern w:val="2"/>
          <w14:ligatures w14:val="standardContextual"/>
        </w:rPr>
        <w:t xml:space="preserve">international </w:t>
      </w:r>
      <w:r w:rsidRPr="001554A0">
        <w:rPr>
          <w:b/>
          <w:bCs/>
          <w:kern w:val="2"/>
          <w14:ligatures w14:val="standardContextual"/>
        </w:rPr>
        <w:t xml:space="preserve">experience </w:t>
      </w:r>
      <w:r w:rsidR="00016207">
        <w:rPr>
          <w:b/>
          <w:bCs/>
          <w:kern w:val="2"/>
          <w14:ligatures w14:val="standardContextual"/>
        </w:rPr>
        <w:t xml:space="preserve">on </w:t>
      </w:r>
      <w:r w:rsidRPr="001554A0">
        <w:rPr>
          <w:b/>
          <w:bCs/>
          <w:kern w:val="2"/>
          <w14:ligatures w14:val="standardContextual"/>
        </w:rPr>
        <w:t>regulatory reform</w:t>
      </w:r>
      <w:r w:rsidR="00016207">
        <w:rPr>
          <w:b/>
          <w:bCs/>
          <w:kern w:val="2"/>
          <w14:ligatures w14:val="standardContextual"/>
        </w:rPr>
        <w:t>s</w:t>
      </w:r>
      <w:r w:rsidRPr="001554A0">
        <w:rPr>
          <w:b/>
          <w:bCs/>
          <w:kern w:val="2"/>
          <w14:ligatures w14:val="standardContextual"/>
        </w:rPr>
        <w:t xml:space="preserve">. </w:t>
      </w:r>
      <w:r w:rsidR="0047724B" w:rsidRPr="0047724B">
        <w:rPr>
          <w:kern w:val="2"/>
          <w14:ligatures w14:val="standardContextual"/>
        </w:rPr>
        <w:t xml:space="preserve">The report uses the World Bank Investment Climate Assessment 2.0 </w:t>
      </w:r>
      <w:r w:rsidR="0004057E">
        <w:rPr>
          <w:kern w:val="2"/>
          <w14:ligatures w14:val="standardContextual"/>
        </w:rPr>
        <w:t xml:space="preserve">(ICA 2.0) </w:t>
      </w:r>
      <w:r w:rsidR="0047724B" w:rsidRPr="0047724B">
        <w:rPr>
          <w:kern w:val="2"/>
          <w14:ligatures w14:val="standardContextual"/>
        </w:rPr>
        <w:t>methodology combining the latest firm-level diagnostics with an in-depth policy assessment</w:t>
      </w:r>
      <w:r w:rsidR="00A73801">
        <w:rPr>
          <w:kern w:val="2"/>
          <w14:ligatures w14:val="standardContextual"/>
        </w:rPr>
        <w:t>.</w:t>
      </w:r>
      <w:r w:rsidR="002F3027">
        <w:rPr>
          <w:rStyle w:val="FootnoteReference"/>
          <w:kern w:val="2"/>
          <w14:ligatures w14:val="standardContextual"/>
        </w:rPr>
        <w:footnoteReference w:id="19"/>
      </w:r>
      <w:r w:rsidR="0047724B">
        <w:rPr>
          <w:b/>
          <w:bCs/>
          <w:kern w:val="2"/>
          <w14:ligatures w14:val="standardContextual"/>
        </w:rPr>
        <w:t xml:space="preserve"> </w:t>
      </w:r>
    </w:p>
    <w:p w14:paraId="7906D975" w14:textId="69379660" w:rsidR="00151287" w:rsidRPr="00AA6635" w:rsidRDefault="001554A0" w:rsidP="00151287">
      <w:pPr>
        <w:pStyle w:val="ListParagraph"/>
        <w:numPr>
          <w:ilvl w:val="0"/>
          <w:numId w:val="35"/>
        </w:numPr>
        <w:jc w:val="both"/>
        <w:rPr>
          <w:i/>
          <w:iCs/>
        </w:rPr>
      </w:pPr>
      <w:r w:rsidRPr="00AA6635">
        <w:rPr>
          <w:kern w:val="2"/>
          <w14:ligatures w14:val="standardContextual"/>
        </w:rPr>
        <w:t xml:space="preserve">The prioritization diagnostic </w:t>
      </w:r>
      <w:r w:rsidR="0004057E" w:rsidRPr="00AA6635">
        <w:rPr>
          <w:kern w:val="2"/>
          <w14:ligatures w14:val="standardContextual"/>
        </w:rPr>
        <w:t xml:space="preserve">based on ICA 2.0 </w:t>
      </w:r>
      <w:r w:rsidRPr="00AA6635">
        <w:rPr>
          <w:kern w:val="2"/>
          <w14:ligatures w14:val="standardContextual"/>
        </w:rPr>
        <w:t xml:space="preserve">in section II provides a data-driven diagnostic of the micro-foundations of </w:t>
      </w:r>
      <w:r w:rsidR="001F1FE8" w:rsidRPr="00AA6635">
        <w:rPr>
          <w:kern w:val="2"/>
          <w14:ligatures w14:val="standardContextual"/>
        </w:rPr>
        <w:t xml:space="preserve">investment and </w:t>
      </w:r>
      <w:r w:rsidR="008C709D" w:rsidRPr="00AA6635">
        <w:rPr>
          <w:kern w:val="2"/>
          <w14:ligatures w14:val="standardContextual"/>
        </w:rPr>
        <w:t xml:space="preserve">productivity </w:t>
      </w:r>
      <w:r w:rsidRPr="00AA6635">
        <w:rPr>
          <w:kern w:val="2"/>
          <w14:ligatures w14:val="standardContextual"/>
        </w:rPr>
        <w:t>growth to prioritize structural reforms and identify specific policy actions enabling productive investment and competitiveness to support private sector-led, inclusive, and sustainable growth</w:t>
      </w:r>
      <w:r w:rsidR="00F920AD" w:rsidRPr="00AA6635">
        <w:rPr>
          <w:kern w:val="2"/>
          <w14:ligatures w14:val="standardContextual"/>
        </w:rPr>
        <w:t>.</w:t>
      </w:r>
      <w:r w:rsidR="008C55CC" w:rsidRPr="00AA6635">
        <w:rPr>
          <w:kern w:val="2"/>
          <w14:ligatures w14:val="standardContextual"/>
        </w:rPr>
        <w:t xml:space="preserve"> It identifies business regulations as a priority reform area</w:t>
      </w:r>
      <w:r w:rsidR="00AA24BE">
        <w:rPr>
          <w:kern w:val="2"/>
          <w14:ligatures w14:val="standardContextual"/>
        </w:rPr>
        <w:t>s</w:t>
      </w:r>
      <w:r w:rsidR="004E49FD">
        <w:rPr>
          <w:kern w:val="2"/>
          <w14:ligatures w14:val="standardContextual"/>
        </w:rPr>
        <w:t xml:space="preserve"> (See Annex I and II)</w:t>
      </w:r>
      <w:r w:rsidR="0094007A" w:rsidRPr="00AA6635">
        <w:rPr>
          <w:kern w:val="2"/>
          <w14:ligatures w14:val="standardContextual"/>
        </w:rPr>
        <w:t>.</w:t>
      </w:r>
      <w:r w:rsidRPr="00AA6635">
        <w:rPr>
          <w:b/>
          <w:bCs/>
          <w:kern w:val="2"/>
          <w14:ligatures w14:val="standardContextual"/>
        </w:rPr>
        <w:t xml:space="preserve"> </w:t>
      </w:r>
    </w:p>
    <w:p w14:paraId="094A5310" w14:textId="0E5D36BF" w:rsidR="00151287" w:rsidRPr="00AA6635" w:rsidRDefault="001554A0" w:rsidP="00151287">
      <w:pPr>
        <w:pStyle w:val="ListParagraph"/>
        <w:numPr>
          <w:ilvl w:val="0"/>
          <w:numId w:val="35"/>
        </w:numPr>
        <w:jc w:val="both"/>
        <w:rPr>
          <w:i/>
          <w:iCs/>
        </w:rPr>
      </w:pPr>
      <w:r w:rsidRPr="00AA6635">
        <w:rPr>
          <w:kern w:val="2"/>
          <w14:ligatures w14:val="standardContextual"/>
        </w:rPr>
        <w:t xml:space="preserve">The </w:t>
      </w:r>
      <w:r w:rsidR="004E222F">
        <w:rPr>
          <w:kern w:val="2"/>
          <w14:ligatures w14:val="standardContextual"/>
        </w:rPr>
        <w:t xml:space="preserve">assessment at mid-term of </w:t>
      </w:r>
      <w:r w:rsidR="005301A4">
        <w:rPr>
          <w:kern w:val="2"/>
          <w14:ligatures w14:val="standardContextual"/>
        </w:rPr>
        <w:t xml:space="preserve">the regulatory reform program in </w:t>
      </w:r>
      <w:r w:rsidR="004E222F">
        <w:rPr>
          <w:kern w:val="2"/>
          <w14:ligatures w14:val="standardContextual"/>
        </w:rPr>
        <w:t>Resolution 68</w:t>
      </w:r>
      <w:r w:rsidRPr="00AA6635">
        <w:rPr>
          <w:kern w:val="2"/>
          <w14:ligatures w14:val="standardContextual"/>
        </w:rPr>
        <w:t xml:space="preserve"> is based on legal texts and </w:t>
      </w:r>
      <w:r w:rsidR="004C2F13" w:rsidRPr="00AA6635">
        <w:rPr>
          <w:kern w:val="2"/>
          <w14:ligatures w14:val="standardContextual"/>
        </w:rPr>
        <w:t xml:space="preserve">administrative </w:t>
      </w:r>
      <w:r w:rsidRPr="00AA6635">
        <w:rPr>
          <w:kern w:val="2"/>
          <w14:ligatures w14:val="standardContextual"/>
        </w:rPr>
        <w:t xml:space="preserve">data shared by </w:t>
      </w:r>
      <w:r w:rsidR="004C2F13" w:rsidRPr="00AA6635">
        <w:rPr>
          <w:kern w:val="2"/>
          <w14:ligatures w14:val="standardContextual"/>
        </w:rPr>
        <w:t xml:space="preserve">government counterparts </w:t>
      </w:r>
      <w:r w:rsidRPr="00AA6635">
        <w:rPr>
          <w:kern w:val="2"/>
          <w14:ligatures w14:val="standardContextual"/>
        </w:rPr>
        <w:t>and follows principles of good regulatory practice</w:t>
      </w:r>
      <w:r w:rsidR="004C2F13" w:rsidRPr="00AA6635">
        <w:rPr>
          <w:kern w:val="2"/>
          <w14:ligatures w14:val="standardContextual"/>
        </w:rPr>
        <w:t>s</w:t>
      </w:r>
      <w:r w:rsidR="002C695D" w:rsidRPr="00AA6635">
        <w:rPr>
          <w:kern w:val="2"/>
          <w14:ligatures w14:val="standardContextual"/>
        </w:rPr>
        <w:t xml:space="preserve"> on the </w:t>
      </w:r>
      <w:r w:rsidR="00693A68" w:rsidRPr="00AA6635">
        <w:rPr>
          <w:kern w:val="2"/>
          <w14:ligatures w14:val="standardContextual"/>
        </w:rPr>
        <w:t>formulation of new regulations, stakeholder engagement</w:t>
      </w:r>
      <w:r w:rsidR="008839FC" w:rsidRPr="00AA6635">
        <w:rPr>
          <w:kern w:val="2"/>
          <w14:ligatures w14:val="standardContextual"/>
        </w:rPr>
        <w:t>,</w:t>
      </w:r>
      <w:r w:rsidR="00693A68" w:rsidRPr="00AA6635">
        <w:rPr>
          <w:kern w:val="2"/>
          <w14:ligatures w14:val="standardContextual"/>
        </w:rPr>
        <w:t xml:space="preserve"> and </w:t>
      </w:r>
      <w:r w:rsidR="008839FC" w:rsidRPr="00AA6635">
        <w:rPr>
          <w:kern w:val="2"/>
          <w14:ligatures w14:val="standardContextual"/>
        </w:rPr>
        <w:t xml:space="preserve">the review of </w:t>
      </w:r>
      <w:r w:rsidR="008D34FE" w:rsidRPr="00AA6635">
        <w:rPr>
          <w:kern w:val="2"/>
          <w14:ligatures w14:val="standardContextual"/>
        </w:rPr>
        <w:t xml:space="preserve">the </w:t>
      </w:r>
      <w:r w:rsidR="008839FC" w:rsidRPr="00AA6635">
        <w:rPr>
          <w:kern w:val="2"/>
          <w14:ligatures w14:val="standardContextual"/>
        </w:rPr>
        <w:t>relevance, effectiveness and efficiency of existing regulations</w:t>
      </w:r>
      <w:r w:rsidRPr="00AA6635">
        <w:rPr>
          <w:kern w:val="2"/>
          <w14:ligatures w14:val="standardContextual"/>
        </w:rPr>
        <w:t>.</w:t>
      </w:r>
      <w:r w:rsidR="007311E2">
        <w:rPr>
          <w:rStyle w:val="FootnoteReference"/>
          <w:kern w:val="2"/>
          <w14:ligatures w14:val="standardContextual"/>
        </w:rPr>
        <w:footnoteReference w:id="20"/>
      </w:r>
      <w:r w:rsidRPr="00AA6635">
        <w:rPr>
          <w:kern w:val="2"/>
          <w14:ligatures w14:val="standardContextual"/>
        </w:rPr>
        <w:t xml:space="preserve"> This was complemented by </w:t>
      </w:r>
      <w:r w:rsidR="001C5B82" w:rsidRPr="00AA6635">
        <w:rPr>
          <w:kern w:val="2"/>
          <w14:ligatures w14:val="standardContextual"/>
        </w:rPr>
        <w:t>in cou</w:t>
      </w:r>
      <w:r w:rsidR="0027094E" w:rsidRPr="00AA6635">
        <w:rPr>
          <w:kern w:val="2"/>
          <w14:ligatures w14:val="standardContextual"/>
        </w:rPr>
        <w:t>ntry meetings with government officials and private sector representatives</w:t>
      </w:r>
      <w:r w:rsidR="00894EBC" w:rsidRPr="00AA6635">
        <w:rPr>
          <w:kern w:val="2"/>
          <w14:ligatures w14:val="standardContextual"/>
        </w:rPr>
        <w:t xml:space="preserve"> in October and December 2023, and January 2024. </w:t>
      </w:r>
    </w:p>
    <w:p w14:paraId="1AC01549" w14:textId="72B91CF5" w:rsidR="00151287" w:rsidRPr="00151287" w:rsidRDefault="00894EBC" w:rsidP="00151287">
      <w:pPr>
        <w:pStyle w:val="ListParagraph"/>
        <w:numPr>
          <w:ilvl w:val="0"/>
          <w:numId w:val="35"/>
        </w:numPr>
        <w:jc w:val="both"/>
      </w:pPr>
      <w:r w:rsidRPr="00AA6635">
        <w:rPr>
          <w:kern w:val="2"/>
          <w14:ligatures w14:val="standardContextual"/>
        </w:rPr>
        <w:t xml:space="preserve">The analysis </w:t>
      </w:r>
      <w:r w:rsidR="00C526A5">
        <w:rPr>
          <w:kern w:val="2"/>
          <w14:ligatures w14:val="standardContextual"/>
        </w:rPr>
        <w:t xml:space="preserve">of Resolution 68 </w:t>
      </w:r>
      <w:r w:rsidR="2C5CACC2" w:rsidRPr="00AA6635">
        <w:rPr>
          <w:kern w:val="2"/>
          <w14:ligatures w14:val="standardContextual"/>
        </w:rPr>
        <w:t>also</w:t>
      </w:r>
      <w:r w:rsidRPr="00AA6635">
        <w:rPr>
          <w:kern w:val="2"/>
          <w14:ligatures w14:val="standardContextual"/>
        </w:rPr>
        <w:t xml:space="preserve"> benefits from</w:t>
      </w:r>
      <w:r w:rsidR="0027094E" w:rsidRPr="00AA6635">
        <w:rPr>
          <w:kern w:val="2"/>
          <w14:ligatures w14:val="standardContextual"/>
        </w:rPr>
        <w:t xml:space="preserve"> </w:t>
      </w:r>
      <w:r w:rsidR="001554A0" w:rsidRPr="00AA6635">
        <w:rPr>
          <w:kern w:val="2"/>
          <w14:ligatures w14:val="standardContextual"/>
        </w:rPr>
        <w:t>an assessment of Viet Nam’s licensing system, including the use of digital technologies, following the World Bank’s Business Licensing and Inspections Maturity Assessment</w:t>
      </w:r>
      <w:r w:rsidR="00370AE3" w:rsidRPr="00AA6635">
        <w:rPr>
          <w:kern w:val="2"/>
          <w14:ligatures w14:val="standardContextual"/>
        </w:rPr>
        <w:t xml:space="preserve"> (BLIMS)</w:t>
      </w:r>
      <w:r w:rsidR="001554A0" w:rsidRPr="00AA6635">
        <w:rPr>
          <w:kern w:val="2"/>
          <w14:ligatures w14:val="standardContextual"/>
        </w:rPr>
        <w:t xml:space="preserve"> methodology.</w:t>
      </w:r>
      <w:r w:rsidR="001554A0" w:rsidRPr="001554A0">
        <w:rPr>
          <w:vertAlign w:val="superscript"/>
        </w:rPr>
        <w:footnoteReference w:id="21"/>
      </w:r>
      <w:r w:rsidR="001554A0" w:rsidRPr="00AA6635">
        <w:rPr>
          <w:kern w:val="2"/>
          <w14:ligatures w14:val="standardContextual"/>
        </w:rPr>
        <w:t xml:space="preserve"> </w:t>
      </w:r>
      <w:r w:rsidR="000170FB">
        <w:rPr>
          <w:kern w:val="2"/>
          <w14:ligatures w14:val="standardContextual"/>
        </w:rPr>
        <w:t xml:space="preserve">The assessment focuses on the review of legal texts and interviews with public officials and </w:t>
      </w:r>
      <w:r w:rsidR="00AF0711">
        <w:rPr>
          <w:kern w:val="2"/>
          <w14:ligatures w14:val="standardContextual"/>
        </w:rPr>
        <w:t>private sector representatives</w:t>
      </w:r>
      <w:r w:rsidR="004E49FD">
        <w:rPr>
          <w:kern w:val="2"/>
          <w14:ligatures w14:val="standardContextual"/>
        </w:rPr>
        <w:t xml:space="preserve"> (See Annex III)</w:t>
      </w:r>
      <w:r w:rsidR="00AF0711">
        <w:rPr>
          <w:kern w:val="2"/>
          <w14:ligatures w14:val="standardContextual"/>
        </w:rPr>
        <w:t xml:space="preserve">. </w:t>
      </w:r>
      <w:r w:rsidR="00151287" w:rsidRPr="00151287">
        <w:t>A separate technical note summarizing the findings of the initial BLIMS assessment and a report piloting the methodology in three areas of licensing have been prepared in collaboration with APCA</w:t>
      </w:r>
      <w:r w:rsidR="003C270D">
        <w:t>/OOG</w:t>
      </w:r>
      <w:r w:rsidR="00151287" w:rsidRPr="00151287">
        <w:t xml:space="preserve">. The three areas of licensing are: 1. Procedures to issue operating licenses for specialized clinics; 2. Procedure to issue certificates of competence for trading plant protection products; and 3. Procedures to issue certificates of food safety eligibility for food production and trading establishments. Key findings of the </w:t>
      </w:r>
      <w:r w:rsidR="00151287">
        <w:t xml:space="preserve">licensing </w:t>
      </w:r>
      <w:r w:rsidR="00151287" w:rsidRPr="00151287">
        <w:t>assessment</w:t>
      </w:r>
      <w:r w:rsidR="00151287">
        <w:t xml:space="preserve"> based on the BLIMS</w:t>
      </w:r>
      <w:r w:rsidR="00151287" w:rsidRPr="00151287">
        <w:t xml:space="preserve"> inform the analysis and the recommendations of this report.</w:t>
      </w:r>
    </w:p>
    <w:p w14:paraId="74B430C5" w14:textId="57A85F12" w:rsidR="00AB3DF9" w:rsidRPr="00151287" w:rsidRDefault="001554A0" w:rsidP="00016207">
      <w:pPr>
        <w:jc w:val="both"/>
        <w:rPr>
          <w:i/>
          <w:iCs/>
        </w:rPr>
      </w:pPr>
      <w:r w:rsidRPr="00AA6635">
        <w:rPr>
          <w:kern w:val="2"/>
          <w14:ligatures w14:val="standardContextual"/>
        </w:rPr>
        <w:t xml:space="preserve">Additional details on the methodology and </w:t>
      </w:r>
      <w:r w:rsidR="00123365" w:rsidRPr="00AA6635">
        <w:rPr>
          <w:kern w:val="2"/>
          <w14:ligatures w14:val="standardContextual"/>
        </w:rPr>
        <w:t>data sources used</w:t>
      </w:r>
      <w:r w:rsidRPr="00AA6635">
        <w:rPr>
          <w:kern w:val="2"/>
          <w14:ligatures w14:val="standardContextual"/>
        </w:rPr>
        <w:t xml:space="preserve"> are provided in each chapter</w:t>
      </w:r>
      <w:r w:rsidR="0094007A" w:rsidRPr="00AA6635">
        <w:rPr>
          <w:kern w:val="2"/>
          <w14:ligatures w14:val="standardContextual"/>
        </w:rPr>
        <w:t xml:space="preserve"> and in </w:t>
      </w:r>
      <w:r w:rsidR="00923804" w:rsidRPr="00AA6635">
        <w:rPr>
          <w:kern w:val="2"/>
          <w14:ligatures w14:val="standardContextual"/>
        </w:rPr>
        <w:t xml:space="preserve">the </w:t>
      </w:r>
      <w:r w:rsidR="004E49FD">
        <w:rPr>
          <w:kern w:val="2"/>
          <w14:ligatures w14:val="standardContextual"/>
        </w:rPr>
        <w:t>referred a</w:t>
      </w:r>
      <w:r w:rsidR="00923804" w:rsidRPr="00AA6635">
        <w:rPr>
          <w:kern w:val="2"/>
          <w14:ligatures w14:val="standardContextual"/>
        </w:rPr>
        <w:t>nnex</w:t>
      </w:r>
      <w:r w:rsidR="004E49FD">
        <w:rPr>
          <w:kern w:val="2"/>
          <w14:ligatures w14:val="standardContextual"/>
        </w:rPr>
        <w:t>es</w:t>
      </w:r>
      <w:r w:rsidRPr="00AA6635">
        <w:rPr>
          <w:kern w:val="2"/>
          <w14:ligatures w14:val="standardContextual"/>
        </w:rPr>
        <w:t>.</w:t>
      </w:r>
      <w:r w:rsidR="00AB3DF9" w:rsidRPr="00151287">
        <w:rPr>
          <w:i/>
          <w:iCs/>
        </w:rPr>
        <w:br w:type="page"/>
      </w:r>
    </w:p>
    <w:p w14:paraId="724DD910" w14:textId="01A8A075" w:rsidR="00995FFF" w:rsidRPr="00EE464D" w:rsidRDefault="00995FFF" w:rsidP="00AA6635">
      <w:pPr>
        <w:pStyle w:val="Heading1"/>
      </w:pPr>
      <w:bookmarkStart w:id="10" w:name="_Toc175228080"/>
      <w:r w:rsidRPr="00EE464D">
        <w:lastRenderedPageBreak/>
        <w:t>Prioritizing regulatory reforms based on firm dynamics</w:t>
      </w:r>
      <w:bookmarkEnd w:id="10"/>
    </w:p>
    <w:p w14:paraId="5A44EAB4" w14:textId="77777777" w:rsidR="00AB3DF9" w:rsidRDefault="00AB3DF9" w:rsidP="00AB3DF9"/>
    <w:p w14:paraId="4D8CD38F" w14:textId="2C53AF05" w:rsidR="006A0866" w:rsidRDefault="00845B33" w:rsidP="006A0866">
      <w:pPr>
        <w:pStyle w:val="Heading2"/>
        <w:rPr>
          <w:rFonts w:eastAsiaTheme="minorHAnsi"/>
        </w:rPr>
      </w:pPr>
      <w:bookmarkStart w:id="11" w:name="_Toc175228081"/>
      <w:r>
        <w:rPr>
          <w:rFonts w:eastAsiaTheme="minorHAnsi"/>
        </w:rPr>
        <w:t>Productivity analysis and the role of regulatory reform</w:t>
      </w:r>
      <w:bookmarkEnd w:id="11"/>
      <w:r w:rsidR="009E7C12">
        <w:rPr>
          <w:rFonts w:eastAsiaTheme="minorHAnsi"/>
        </w:rPr>
        <w:t xml:space="preserve"> </w:t>
      </w:r>
    </w:p>
    <w:p w14:paraId="1F924C49" w14:textId="0A56E543" w:rsidR="007827D4" w:rsidRPr="008430D8" w:rsidRDefault="00E043CF" w:rsidP="4E68FC03">
      <w:pPr>
        <w:pStyle w:val="ListParagraph"/>
        <w:tabs>
          <w:tab w:val="left" w:pos="450"/>
        </w:tabs>
        <w:spacing w:before="240" w:after="0"/>
        <w:ind w:left="0"/>
        <w:jc w:val="both"/>
        <w:rPr>
          <w:rStyle w:val="normaltextrun"/>
        </w:rPr>
      </w:pPr>
      <w:r w:rsidRPr="4E68FC03">
        <w:rPr>
          <w:rStyle w:val="normaltextrun"/>
          <w:rFonts w:eastAsia="Arial"/>
          <w:b/>
        </w:rPr>
        <w:t>In recent decades, overall productivity in Viet</w:t>
      </w:r>
      <w:r w:rsidR="008372C1" w:rsidRPr="4E68FC03">
        <w:rPr>
          <w:rStyle w:val="normaltextrun"/>
          <w:rFonts w:eastAsia="Arial"/>
          <w:b/>
        </w:rPr>
        <w:t xml:space="preserve"> N</w:t>
      </w:r>
      <w:r w:rsidRPr="4E68FC03">
        <w:rPr>
          <w:rStyle w:val="normaltextrun"/>
          <w:rFonts w:eastAsia="Arial"/>
          <w:b/>
        </w:rPr>
        <w:t xml:space="preserve">am has </w:t>
      </w:r>
      <w:r w:rsidR="00111B36" w:rsidRPr="4E68FC03">
        <w:rPr>
          <w:rStyle w:val="normaltextrun"/>
          <w:rFonts w:eastAsia="Arial"/>
          <w:b/>
        </w:rPr>
        <w:t>experienced rapid growth</w:t>
      </w:r>
      <w:r w:rsidR="55AED1D1" w:rsidRPr="4E68FC03">
        <w:rPr>
          <w:rStyle w:val="normaltextrun"/>
          <w:rFonts w:eastAsia="Arial"/>
          <w:b/>
          <w:bCs/>
        </w:rPr>
        <w:t>, although from a low level</w:t>
      </w:r>
      <w:r w:rsidR="009A6FC8">
        <w:rPr>
          <w:rStyle w:val="normaltextrun"/>
          <w:rFonts w:eastAsia="Arial"/>
          <w:b/>
          <w:bCs/>
        </w:rPr>
        <w:t xml:space="preserve">. </w:t>
      </w:r>
      <w:r w:rsidR="007827D4">
        <w:t>Viet</w:t>
      </w:r>
      <w:r w:rsidR="0021777A">
        <w:t xml:space="preserve"> Nam</w:t>
      </w:r>
      <w:r w:rsidR="07667A3D">
        <w:t xml:space="preserve"> reported </w:t>
      </w:r>
      <w:r w:rsidR="07667A3D" w:rsidRPr="00AA6635">
        <w:t>high productivity growth between 20</w:t>
      </w:r>
      <w:r w:rsidR="00315E44" w:rsidRPr="00AA6635">
        <w:t>00</w:t>
      </w:r>
      <w:r w:rsidR="07667A3D" w:rsidRPr="00AA6635">
        <w:t xml:space="preserve"> and 2019, which</w:t>
      </w:r>
      <w:r w:rsidR="07667A3D" w:rsidRPr="4E68FC03">
        <w:rPr>
          <w:b/>
          <w:bCs/>
          <w:color w:val="4472C4" w:themeColor="accent1"/>
          <w:sz w:val="20"/>
          <w:szCs w:val="20"/>
        </w:rPr>
        <w:t xml:space="preserve"> </w:t>
      </w:r>
      <w:r w:rsidR="007827D4">
        <w:t>place</w:t>
      </w:r>
      <w:r w:rsidR="5F4D1D1D">
        <w:t>d</w:t>
      </w:r>
      <w:r w:rsidR="007827D4">
        <w:t xml:space="preserve"> the economy above structural peer countries and in line with aspirational peers</w:t>
      </w:r>
      <w:r w:rsidR="005870A3">
        <w:t xml:space="preserve"> in term of annual growth rates</w:t>
      </w:r>
      <w:r w:rsidR="007827D4">
        <w:t xml:space="preserve"> </w:t>
      </w:r>
      <w:r w:rsidR="5EC9D225">
        <w:t>(</w:t>
      </w:r>
      <w:r w:rsidR="009B2118">
        <w:t>F</w:t>
      </w:r>
      <w:r w:rsidR="5EC9D225">
        <w:t>igure 1)</w:t>
      </w:r>
      <w:r w:rsidR="00841DC2">
        <w:t>.</w:t>
      </w:r>
      <w:r w:rsidR="007827D4">
        <w:t xml:space="preserve"> </w:t>
      </w:r>
      <w:r w:rsidR="00D45383">
        <w:t>However</w:t>
      </w:r>
      <w:r w:rsidR="007827D4">
        <w:t>, the country still shows lower productivity levels</w:t>
      </w:r>
      <w:r w:rsidR="009875D6">
        <w:t xml:space="preserve"> (</w:t>
      </w:r>
      <w:r w:rsidR="002A5796">
        <w:t xml:space="preserve">as measured by the </w:t>
      </w:r>
      <w:r w:rsidR="009875D6">
        <w:t>value added per worker)</w:t>
      </w:r>
      <w:r w:rsidR="007827D4">
        <w:t xml:space="preserve"> </w:t>
      </w:r>
      <w:r w:rsidR="00A6471B">
        <w:t>compared</w:t>
      </w:r>
      <w:r w:rsidR="007827D4">
        <w:t xml:space="preserve"> </w:t>
      </w:r>
      <w:r w:rsidR="00A6471B">
        <w:t xml:space="preserve">to </w:t>
      </w:r>
      <w:r w:rsidR="007827D4">
        <w:t>almost all its peers</w:t>
      </w:r>
      <w:r w:rsidR="00DC5349">
        <w:t>,</w:t>
      </w:r>
      <w:r w:rsidR="00003043">
        <w:t xml:space="preserve"> </w:t>
      </w:r>
      <w:r w:rsidR="00003043" w:rsidRPr="00003043">
        <w:t xml:space="preserve">a fact that highlights the need for reforms that can </w:t>
      </w:r>
      <w:r w:rsidR="00EC3DD7">
        <w:t xml:space="preserve">support fast productivity growth in </w:t>
      </w:r>
      <w:r w:rsidR="00D03396">
        <w:t>the future.</w:t>
      </w:r>
      <w:r w:rsidR="007827D4">
        <w:t xml:space="preserve"> </w:t>
      </w:r>
    </w:p>
    <w:p w14:paraId="773DDD1E" w14:textId="613C82D6" w:rsidR="001B70B4" w:rsidRPr="00AA6635" w:rsidRDefault="001B70B4" w:rsidP="4E68FC03">
      <w:pPr>
        <w:keepNext/>
        <w:keepLines/>
        <w:spacing w:before="120" w:after="0"/>
        <w:rPr>
          <w:b/>
          <w:bCs/>
          <w:color w:val="4472C4" w:themeColor="accent1"/>
          <w:sz w:val="20"/>
          <w:szCs w:val="20"/>
        </w:rPr>
      </w:pPr>
      <w:r w:rsidRPr="008430D8">
        <w:rPr>
          <w:b/>
          <w:color w:val="4472C4" w:themeColor="accent1"/>
          <w:sz w:val="20"/>
          <w:szCs w:val="20"/>
        </w:rPr>
        <w:t xml:space="preserve">Figure 1. </w:t>
      </w:r>
      <w:r w:rsidR="003F68C4">
        <w:rPr>
          <w:b/>
          <w:bCs/>
          <w:color w:val="4472C4" w:themeColor="accent1"/>
          <w:sz w:val="20"/>
          <w:szCs w:val="20"/>
        </w:rPr>
        <w:t>G</w:t>
      </w:r>
      <w:r w:rsidR="003F68C4" w:rsidRPr="4E68FC03">
        <w:rPr>
          <w:b/>
          <w:bCs/>
          <w:color w:val="4472C4" w:themeColor="accent1"/>
          <w:sz w:val="20"/>
          <w:szCs w:val="20"/>
        </w:rPr>
        <w:t xml:space="preserve">rowth </w:t>
      </w:r>
      <w:r w:rsidR="00434BAE">
        <w:rPr>
          <w:b/>
          <w:bCs/>
          <w:color w:val="4472C4" w:themeColor="accent1"/>
          <w:sz w:val="20"/>
          <w:szCs w:val="20"/>
        </w:rPr>
        <w:t>of v</w:t>
      </w:r>
      <w:r w:rsidR="03E4EFD5" w:rsidRPr="4E68FC03">
        <w:rPr>
          <w:b/>
          <w:bCs/>
          <w:color w:val="4472C4" w:themeColor="accent1"/>
          <w:sz w:val="20"/>
          <w:szCs w:val="20"/>
        </w:rPr>
        <w:t>alue added per worker vis-à-vis value added per worker (201</w:t>
      </w:r>
      <w:r w:rsidR="000A7617">
        <w:rPr>
          <w:b/>
          <w:bCs/>
          <w:color w:val="4472C4" w:themeColor="accent1"/>
          <w:sz w:val="20"/>
          <w:szCs w:val="20"/>
        </w:rPr>
        <w:t>9</w:t>
      </w:r>
      <w:r w:rsidR="03E4EFD5" w:rsidRPr="4E68FC03">
        <w:rPr>
          <w:b/>
          <w:bCs/>
          <w:color w:val="4472C4" w:themeColor="accent1"/>
          <w:sz w:val="20"/>
          <w:szCs w:val="20"/>
        </w:rPr>
        <w:t xml:space="preserve"> USD) </w:t>
      </w:r>
    </w:p>
    <w:tbl>
      <w:tblPr>
        <w:tblStyle w:val="TableGrid"/>
        <w:tblW w:w="5494"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1"/>
        <w:gridCol w:w="237"/>
        <w:gridCol w:w="3993"/>
        <w:gridCol w:w="687"/>
        <w:gridCol w:w="237"/>
      </w:tblGrid>
      <w:tr w:rsidR="001B70B4" w:rsidRPr="003F6C71" w14:paraId="444F9D06" w14:textId="50FCDCB3" w:rsidTr="00AA6635">
        <w:tc>
          <w:tcPr>
            <w:tcW w:w="2495" w:type="pct"/>
          </w:tcPr>
          <w:p w14:paraId="2F807A91" w14:textId="2E64C00F" w:rsidR="001B70B4" w:rsidRPr="00111B61" w:rsidRDefault="001B70B4" w:rsidP="008430D8">
            <w:pPr>
              <w:keepNext/>
              <w:keepLines/>
              <w:spacing w:before="120"/>
              <w:rPr>
                <w:rFonts w:asciiTheme="majorHAnsi" w:hAnsiTheme="majorHAnsi" w:cstheme="majorBidi"/>
              </w:rPr>
            </w:pPr>
          </w:p>
        </w:tc>
        <w:tc>
          <w:tcPr>
            <w:tcW w:w="115" w:type="pct"/>
          </w:tcPr>
          <w:p w14:paraId="6EEAC6BE" w14:textId="77777777" w:rsidR="001B70B4" w:rsidRPr="003F6C71" w:rsidRDefault="001B70B4" w:rsidP="008430D8">
            <w:pPr>
              <w:keepNext/>
              <w:keepLines/>
              <w:spacing w:before="120"/>
              <w:rPr>
                <w:rFonts w:asciiTheme="majorHAnsi" w:hAnsiTheme="majorHAnsi" w:cstheme="majorHAnsi"/>
                <w:b/>
                <w:bCs/>
              </w:rPr>
            </w:pPr>
          </w:p>
        </w:tc>
        <w:tc>
          <w:tcPr>
            <w:tcW w:w="2275" w:type="pct"/>
            <w:gridSpan w:val="2"/>
          </w:tcPr>
          <w:p w14:paraId="3FD75E76" w14:textId="289F3FE1" w:rsidR="001B70B4" w:rsidRPr="00111B61" w:rsidRDefault="001B70B4" w:rsidP="008430D8">
            <w:pPr>
              <w:keepNext/>
              <w:keepLines/>
              <w:spacing w:before="120"/>
              <w:jc w:val="both"/>
              <w:rPr>
                <w:rFonts w:asciiTheme="majorHAnsi" w:hAnsiTheme="majorHAnsi" w:cstheme="majorBidi"/>
              </w:rPr>
            </w:pPr>
          </w:p>
        </w:tc>
        <w:tc>
          <w:tcPr>
            <w:tcW w:w="115" w:type="pct"/>
          </w:tcPr>
          <w:p w14:paraId="022886BA" w14:textId="77777777" w:rsidR="00984B47" w:rsidRPr="00111B61" w:rsidRDefault="00984B47" w:rsidP="00FA75D3">
            <w:pPr>
              <w:keepNext/>
              <w:keepLines/>
              <w:jc w:val="both"/>
              <w:rPr>
                <w:rFonts w:asciiTheme="majorHAnsi" w:hAnsiTheme="majorHAnsi" w:cstheme="majorHAnsi"/>
              </w:rPr>
            </w:pPr>
          </w:p>
        </w:tc>
      </w:tr>
      <w:tr w:rsidR="009B2118" w:rsidRPr="00013A7E" w14:paraId="01863863" w14:textId="02419561" w:rsidTr="00AA6635">
        <w:trPr>
          <w:gridAfter w:val="2"/>
          <w:wAfter w:w="449" w:type="pct"/>
          <w:trHeight w:val="2385"/>
        </w:trPr>
        <w:tc>
          <w:tcPr>
            <w:tcW w:w="4551" w:type="pct"/>
            <w:gridSpan w:val="3"/>
          </w:tcPr>
          <w:p w14:paraId="12A293A0" w14:textId="59D2C0B2" w:rsidR="009B2118" w:rsidRPr="00013A7E" w:rsidRDefault="009B2118" w:rsidP="15E5BA73">
            <w:pPr>
              <w:widowControl w:val="0"/>
              <w:rPr>
                <w:rFonts w:asciiTheme="majorHAnsi" w:hAnsiTheme="majorHAnsi" w:cstheme="majorBidi"/>
              </w:rPr>
            </w:pPr>
            <w:r w:rsidRPr="00815A51">
              <w:rPr>
                <w:rStyle w:val="cf01"/>
                <w:rFonts w:ascii="Times New Roman" w:hAnsi="Times New Roman" w:cs="Times New Roman"/>
                <w:noProof/>
                <w:sz w:val="24"/>
                <w:szCs w:val="24"/>
              </w:rPr>
              <w:drawing>
                <wp:inline distT="0" distB="0" distL="0" distR="0" wp14:anchorId="2A798734" wp14:editId="4BF9940F">
                  <wp:extent cx="5626729" cy="30502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215" cy="3077039"/>
                          </a:xfrm>
                          <a:prstGeom prst="rect">
                            <a:avLst/>
                          </a:prstGeom>
                          <a:noFill/>
                          <a:ln>
                            <a:noFill/>
                          </a:ln>
                        </pic:spPr>
                      </pic:pic>
                    </a:graphicData>
                  </a:graphic>
                </wp:inline>
              </w:drawing>
            </w:r>
          </w:p>
          <w:p w14:paraId="246E09B0" w14:textId="5DE3A1F0" w:rsidR="009B2118" w:rsidRDefault="009B2118" w:rsidP="00FA75D3">
            <w:pPr>
              <w:widowControl w:val="0"/>
              <w:rPr>
                <w:noProof/>
              </w:rPr>
            </w:pPr>
          </w:p>
        </w:tc>
      </w:tr>
      <w:tr w:rsidR="009B2118" w:rsidRPr="00E52588" w14:paraId="398BCBB7" w14:textId="2D843138" w:rsidTr="00AA6635">
        <w:trPr>
          <w:gridAfter w:val="2"/>
          <w:wAfter w:w="449" w:type="pct"/>
          <w:trHeight w:val="216"/>
        </w:trPr>
        <w:tc>
          <w:tcPr>
            <w:tcW w:w="4551" w:type="pct"/>
            <w:gridSpan w:val="3"/>
          </w:tcPr>
          <w:p w14:paraId="3C0CF8B1" w14:textId="77777777" w:rsidR="009B2118" w:rsidRPr="00D13D3A" w:rsidRDefault="009B2118">
            <w:pPr>
              <w:tabs>
                <w:tab w:val="left" w:pos="450"/>
              </w:tabs>
              <w:jc w:val="both"/>
              <w:rPr>
                <w:rStyle w:val="normaltextrun"/>
                <w:rFonts w:asciiTheme="majorHAnsi" w:eastAsia="Arial" w:hAnsiTheme="majorHAnsi" w:cstheme="majorHAnsi"/>
                <w:i/>
                <w:color w:val="7F7F7F" w:themeColor="text1" w:themeTint="80"/>
                <w:sz w:val="18"/>
                <w:szCs w:val="18"/>
              </w:rPr>
            </w:pPr>
            <w:r w:rsidRPr="008430D8">
              <w:rPr>
                <w:rStyle w:val="normaltextrun"/>
                <w:rFonts w:asciiTheme="majorHAnsi" w:eastAsia="Arial" w:hAnsiTheme="majorHAnsi" w:cstheme="majorHAnsi"/>
                <w:i/>
                <w:color w:val="7F7F7F" w:themeColor="text1" w:themeTint="80"/>
                <w:sz w:val="18"/>
                <w:szCs w:val="18"/>
              </w:rPr>
              <w:t>Source: WB World Development Indicators (W</w:t>
            </w:r>
            <w:r w:rsidRPr="00D13D3A">
              <w:rPr>
                <w:rStyle w:val="normaltextrun"/>
                <w:rFonts w:asciiTheme="majorHAnsi" w:eastAsia="Arial" w:hAnsiTheme="majorHAnsi" w:cstheme="majorHAnsi"/>
                <w:i/>
                <w:color w:val="7F7F7F" w:themeColor="text1" w:themeTint="80"/>
                <w:sz w:val="18"/>
                <w:szCs w:val="18"/>
              </w:rPr>
              <w:t xml:space="preserve">DI) using the </w:t>
            </w:r>
            <w:r>
              <w:rPr>
                <w:rStyle w:val="normaltextrun"/>
                <w:rFonts w:asciiTheme="majorHAnsi" w:eastAsia="Arial" w:hAnsiTheme="majorHAnsi" w:cstheme="majorHAnsi"/>
                <w:i/>
                <w:color w:val="7F7F7F" w:themeColor="text1" w:themeTint="80"/>
                <w:sz w:val="18"/>
                <w:szCs w:val="18"/>
              </w:rPr>
              <w:t>ICA</w:t>
            </w:r>
            <w:r w:rsidRPr="00D13D3A">
              <w:rPr>
                <w:rStyle w:val="normaltextrun"/>
                <w:rFonts w:asciiTheme="majorHAnsi" w:eastAsia="Arial" w:hAnsiTheme="majorHAnsi" w:cstheme="majorHAnsi"/>
                <w:i/>
                <w:color w:val="7F7F7F" w:themeColor="text1" w:themeTint="80"/>
                <w:sz w:val="18"/>
                <w:szCs w:val="18"/>
              </w:rPr>
              <w:t xml:space="preserve"> 2.0 Tool. </w:t>
            </w:r>
          </w:p>
          <w:p w14:paraId="139BB861" w14:textId="00C86F73" w:rsidR="009B2118" w:rsidRPr="00D13D3A" w:rsidRDefault="009B2118">
            <w:pPr>
              <w:pStyle w:val="ListParagraph"/>
              <w:tabs>
                <w:tab w:val="left" w:pos="450"/>
              </w:tabs>
              <w:ind w:left="0"/>
              <w:contextualSpacing w:val="0"/>
              <w:jc w:val="both"/>
              <w:rPr>
                <w:rFonts w:asciiTheme="majorHAnsi" w:eastAsia="Arial" w:hAnsiTheme="majorHAnsi" w:cstheme="majorHAnsi"/>
                <w:i/>
                <w:color w:val="7F7F7F" w:themeColor="text1" w:themeTint="80"/>
                <w:sz w:val="18"/>
                <w:szCs w:val="18"/>
              </w:rPr>
            </w:pPr>
            <w:r w:rsidRPr="00D13D3A">
              <w:rPr>
                <w:rStyle w:val="normaltextrun"/>
                <w:rFonts w:asciiTheme="majorHAnsi" w:eastAsia="Arial" w:hAnsiTheme="majorHAnsi" w:cstheme="majorHAnsi"/>
                <w:i/>
                <w:color w:val="7F7F7F" w:themeColor="text1" w:themeTint="80"/>
                <w:sz w:val="18"/>
                <w:szCs w:val="18"/>
              </w:rPr>
              <w:t>Note: Raw data are in constant 2015 prices, expressed in U.S. dollars. Aspirational countrie</w:t>
            </w:r>
            <w:r>
              <w:rPr>
                <w:rStyle w:val="normaltextrun"/>
                <w:rFonts w:asciiTheme="majorHAnsi" w:eastAsia="Arial" w:hAnsiTheme="majorHAnsi" w:cstheme="majorHAnsi"/>
                <w:i/>
                <w:color w:val="7F7F7F" w:themeColor="text1" w:themeTint="80"/>
                <w:sz w:val="18"/>
                <w:szCs w:val="18"/>
              </w:rPr>
              <w:t>s</w:t>
            </w:r>
            <w:r w:rsidRPr="00D13D3A">
              <w:rPr>
                <w:rStyle w:val="normaltextrun"/>
                <w:rFonts w:asciiTheme="majorHAnsi" w:eastAsia="Arial" w:hAnsiTheme="majorHAnsi" w:cstheme="majorHAnsi"/>
                <w:i/>
                <w:color w:val="7F7F7F" w:themeColor="text1" w:themeTint="80"/>
                <w:sz w:val="18"/>
                <w:szCs w:val="18"/>
              </w:rPr>
              <w:t xml:space="preserve"> are green. Structural countries</w:t>
            </w:r>
            <w:r>
              <w:rPr>
                <w:rStyle w:val="normaltextrun"/>
                <w:rFonts w:asciiTheme="majorHAnsi" w:eastAsia="Arial" w:hAnsiTheme="majorHAnsi" w:cstheme="majorHAnsi"/>
                <w:i/>
                <w:color w:val="7F7F7F" w:themeColor="text1" w:themeTint="80"/>
                <w:sz w:val="18"/>
                <w:szCs w:val="18"/>
              </w:rPr>
              <w:t xml:space="preserve"> </w:t>
            </w:r>
            <w:r w:rsidRPr="00D13D3A">
              <w:rPr>
                <w:rStyle w:val="normaltextrun"/>
                <w:rFonts w:asciiTheme="majorHAnsi" w:eastAsia="Arial" w:hAnsiTheme="majorHAnsi" w:cstheme="majorHAnsi"/>
                <w:i/>
                <w:color w:val="7F7F7F" w:themeColor="text1" w:themeTint="80"/>
                <w:sz w:val="18"/>
                <w:szCs w:val="18"/>
              </w:rPr>
              <w:t>are blue. The horizontal dotted line shows the average value added per worker growth for the sample of countries between 20</w:t>
            </w:r>
            <w:r>
              <w:rPr>
                <w:rStyle w:val="normaltextrun"/>
                <w:rFonts w:asciiTheme="majorHAnsi" w:eastAsia="Arial" w:hAnsiTheme="majorHAnsi" w:cstheme="majorHAnsi"/>
                <w:i/>
                <w:color w:val="7F7F7F" w:themeColor="text1" w:themeTint="80"/>
                <w:sz w:val="18"/>
                <w:szCs w:val="18"/>
              </w:rPr>
              <w:t>00</w:t>
            </w:r>
            <w:r w:rsidRPr="00D13D3A">
              <w:rPr>
                <w:rStyle w:val="normaltextrun"/>
                <w:rFonts w:asciiTheme="majorHAnsi" w:eastAsia="Arial" w:hAnsiTheme="majorHAnsi" w:cstheme="majorHAnsi"/>
                <w:i/>
                <w:color w:val="7F7F7F" w:themeColor="text1" w:themeTint="80"/>
                <w:sz w:val="18"/>
                <w:szCs w:val="18"/>
              </w:rPr>
              <w:t>-2019. The vertical dotted line indicates the average value added per worker for the sample of countries in 2019.  In the database, 2019 is the latest available year with information on value-added per worker.</w:t>
            </w:r>
          </w:p>
          <w:p w14:paraId="647F63A9" w14:textId="5A0CFBB9" w:rsidR="009B2118" w:rsidRPr="00C57889" w:rsidRDefault="009B2118" w:rsidP="0079217E">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p>
        </w:tc>
      </w:tr>
    </w:tbl>
    <w:p w14:paraId="5AF3C66F" w14:textId="3F1A0662" w:rsidR="640FFE28" w:rsidRDefault="003B52FA" w:rsidP="4E68FC03">
      <w:pPr>
        <w:pStyle w:val="ListParagraph"/>
        <w:tabs>
          <w:tab w:val="left" w:pos="450"/>
        </w:tabs>
        <w:spacing w:before="240" w:after="0"/>
        <w:ind w:left="0"/>
        <w:jc w:val="both"/>
      </w:pPr>
      <w:r>
        <w:rPr>
          <w:rStyle w:val="normaltextrun"/>
          <w:rFonts w:eastAsia="Arial"/>
          <w:b/>
          <w:bCs/>
        </w:rPr>
        <w:t>T</w:t>
      </w:r>
      <w:r w:rsidR="640FFE28" w:rsidRPr="4E68FC03">
        <w:rPr>
          <w:rStyle w:val="normaltextrun"/>
          <w:rFonts w:eastAsia="Arial"/>
          <w:b/>
          <w:bCs/>
        </w:rPr>
        <w:t xml:space="preserve">he productivity performance of the nonagricultural sector </w:t>
      </w:r>
      <w:r w:rsidR="00F54B87">
        <w:rPr>
          <w:rStyle w:val="normaltextrun"/>
          <w:rFonts w:eastAsia="Arial"/>
          <w:b/>
          <w:bCs/>
        </w:rPr>
        <w:t>has been</w:t>
      </w:r>
      <w:r w:rsidR="640FFE28" w:rsidRPr="4E68FC03">
        <w:rPr>
          <w:rStyle w:val="normaltextrun"/>
          <w:rFonts w:eastAsia="Arial"/>
          <w:b/>
          <w:bCs/>
        </w:rPr>
        <w:t xml:space="preserve"> more muted</w:t>
      </w:r>
      <w:r w:rsidR="640FFE28" w:rsidRPr="4E68FC03">
        <w:rPr>
          <w:rStyle w:val="Strong"/>
          <w:color w:val="0E101A"/>
        </w:rPr>
        <w:t xml:space="preserve">. </w:t>
      </w:r>
      <w:r w:rsidR="640FFE28" w:rsidRPr="00AA6635">
        <w:rPr>
          <w:rStyle w:val="Strong"/>
          <w:b w:val="0"/>
          <w:color w:val="0E101A"/>
        </w:rPr>
        <w:t>A</w:t>
      </w:r>
      <w:r w:rsidR="640FFE28">
        <w:t>lthough there has been some increase since 2010, productivity in the nonagricultural sector</w:t>
      </w:r>
      <w:r w:rsidR="008D00DB">
        <w:t xml:space="preserve">, i.e., </w:t>
      </w:r>
      <w:r w:rsidR="00286E86">
        <w:t xml:space="preserve">industry and </w:t>
      </w:r>
      <w:r w:rsidR="000A7617">
        <w:t>services, underperformed</w:t>
      </w:r>
      <w:r w:rsidR="640FFE28">
        <w:t xml:space="preserve"> compared with the aggregate economy and rose less than in most of the country’s peers over the two pre-COVID-19 decades (</w:t>
      </w:r>
      <w:r w:rsidR="00EA5E67">
        <w:t>F</w:t>
      </w:r>
      <w:r w:rsidR="640FFE28">
        <w:t xml:space="preserve">igure </w:t>
      </w:r>
      <w:r w:rsidR="00EA5E67">
        <w:t>2</w:t>
      </w:r>
      <w:r w:rsidR="640FFE28">
        <w:t>). Value added per worker—a measure of labor productivity—in the agricultural sector increased by an average yearly rate of 4.3 percent between 2000 and 2019 compared to 1.5 percent in the nonagricultural sector.</w:t>
      </w:r>
    </w:p>
    <w:p w14:paraId="1704C978" w14:textId="05722F76" w:rsidR="640FFE28" w:rsidRPr="00AA6635" w:rsidRDefault="640FFE28" w:rsidP="00AA6635">
      <w:pPr>
        <w:pStyle w:val="ListParagraph"/>
        <w:keepNext/>
        <w:tabs>
          <w:tab w:val="left" w:pos="450"/>
        </w:tabs>
        <w:spacing w:before="240" w:after="0"/>
        <w:ind w:left="0"/>
        <w:jc w:val="both"/>
        <w:rPr>
          <w:rFonts w:asciiTheme="majorHAnsi" w:hAnsiTheme="majorHAnsi" w:cstheme="majorBidi"/>
          <w:b/>
          <w:bCs/>
        </w:rPr>
      </w:pPr>
      <w:r w:rsidRPr="00AA6635">
        <w:rPr>
          <w:b/>
          <w:bCs/>
          <w:color w:val="4472C4" w:themeColor="accent1"/>
          <w:sz w:val="20"/>
          <w:szCs w:val="20"/>
        </w:rPr>
        <w:lastRenderedPageBreak/>
        <w:t>Figure 2:</w:t>
      </w:r>
      <w:r w:rsidRPr="00AA6635">
        <w:rPr>
          <w:b/>
          <w:bCs/>
        </w:rPr>
        <w:t xml:space="preserve"> </w:t>
      </w:r>
      <w:r w:rsidRPr="00AA6635">
        <w:rPr>
          <w:b/>
          <w:bCs/>
          <w:color w:val="4472C4" w:themeColor="accent1"/>
          <w:sz w:val="20"/>
          <w:szCs w:val="20"/>
        </w:rPr>
        <w:t>Average yearly growth of value added per worker, 2000-2019 period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tblGrid>
      <w:tr w:rsidR="001A3C9C" w14:paraId="1F9E68B1" w14:textId="77777777" w:rsidTr="00B23E3F">
        <w:trPr>
          <w:trHeight w:val="300"/>
        </w:trPr>
        <w:tc>
          <w:tcPr>
            <w:tcW w:w="4686" w:type="dxa"/>
          </w:tcPr>
          <w:p w14:paraId="5517656A" w14:textId="41543F82" w:rsidR="4E68FC03" w:rsidRPr="00AA6635" w:rsidRDefault="4E68FC03" w:rsidP="4E68FC03">
            <w:pPr>
              <w:keepNext/>
              <w:keepLines/>
              <w:spacing w:before="120"/>
              <w:jc w:val="both"/>
              <w:rPr>
                <w:b/>
                <w:bCs/>
                <w:color w:val="4472C4" w:themeColor="accent1"/>
                <w:sz w:val="20"/>
                <w:szCs w:val="20"/>
              </w:rPr>
            </w:pPr>
          </w:p>
        </w:tc>
      </w:tr>
      <w:tr w:rsidR="001A3C9C" w14:paraId="2A5E1194" w14:textId="77777777" w:rsidTr="00B23E3F">
        <w:trPr>
          <w:trHeight w:val="2385"/>
        </w:trPr>
        <w:tc>
          <w:tcPr>
            <w:tcW w:w="4686" w:type="dxa"/>
          </w:tcPr>
          <w:p w14:paraId="05845837" w14:textId="18EC6049" w:rsidR="4E68FC03" w:rsidRDefault="00851F33" w:rsidP="4E68FC03">
            <w:pPr>
              <w:widowControl w:val="0"/>
              <w:rPr>
                <w:rFonts w:asciiTheme="majorHAnsi" w:hAnsiTheme="majorHAnsi" w:cstheme="majorBidi"/>
              </w:rPr>
            </w:pPr>
            <w:r>
              <w:rPr>
                <w:rFonts w:asciiTheme="majorHAnsi" w:hAnsiTheme="majorHAnsi" w:cstheme="majorBidi"/>
                <w:noProof/>
              </w:rPr>
              <w:drawing>
                <wp:inline distT="0" distB="0" distL="0" distR="0" wp14:anchorId="65728E59" wp14:editId="5489059E">
                  <wp:extent cx="5332095" cy="3250195"/>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860" cy="3264681"/>
                          </a:xfrm>
                          <a:prstGeom prst="rect">
                            <a:avLst/>
                          </a:prstGeom>
                          <a:noFill/>
                        </pic:spPr>
                      </pic:pic>
                    </a:graphicData>
                  </a:graphic>
                </wp:inline>
              </w:drawing>
            </w:r>
          </w:p>
        </w:tc>
      </w:tr>
      <w:tr w:rsidR="001A3C9C" w14:paraId="5BCD6094" w14:textId="77777777" w:rsidTr="00B23E3F">
        <w:trPr>
          <w:trHeight w:val="724"/>
        </w:trPr>
        <w:tc>
          <w:tcPr>
            <w:tcW w:w="4686" w:type="dxa"/>
          </w:tcPr>
          <w:p w14:paraId="3E2520F4" w14:textId="5C550A95" w:rsidR="4E68FC03" w:rsidRDefault="4E68FC03" w:rsidP="4E68FC03">
            <w:pPr>
              <w:pStyle w:val="ListParagraph"/>
              <w:tabs>
                <w:tab w:val="left" w:pos="450"/>
              </w:tabs>
              <w:ind w:left="0"/>
              <w:jc w:val="both"/>
              <w:rPr>
                <w:rStyle w:val="normaltextrun"/>
                <w:rFonts w:asciiTheme="majorHAnsi" w:eastAsia="Arial" w:hAnsiTheme="majorHAnsi" w:cstheme="majorBidi"/>
                <w:i/>
                <w:iCs/>
                <w:color w:val="7F7F7F" w:themeColor="text1" w:themeTint="80"/>
                <w:sz w:val="18"/>
                <w:szCs w:val="18"/>
              </w:rPr>
            </w:pPr>
            <w:r w:rsidRPr="4E68FC03">
              <w:rPr>
                <w:rStyle w:val="normaltextrun"/>
                <w:rFonts w:asciiTheme="majorHAnsi" w:eastAsia="Arial" w:hAnsiTheme="majorHAnsi" w:cstheme="majorBidi"/>
                <w:i/>
                <w:iCs/>
                <w:color w:val="7F7F7F" w:themeColor="text1" w:themeTint="80"/>
                <w:sz w:val="18"/>
                <w:szCs w:val="18"/>
              </w:rPr>
              <w:t xml:space="preserve">Source: WB World Development Indicators (WDI) using the ICA 2.0 Tool. </w:t>
            </w:r>
          </w:p>
          <w:p w14:paraId="6D0A1532" w14:textId="087D2502" w:rsidR="4E68FC03" w:rsidRDefault="4E68FC03" w:rsidP="4E68FC03">
            <w:pPr>
              <w:widowControl w:val="0"/>
              <w:jc w:val="both"/>
              <w:rPr>
                <w:rFonts w:asciiTheme="majorHAnsi" w:hAnsiTheme="majorHAnsi" w:cstheme="majorBidi"/>
                <w:b/>
                <w:bCs/>
                <w:sz w:val="18"/>
                <w:szCs w:val="18"/>
              </w:rPr>
            </w:pPr>
            <w:r w:rsidRPr="4E68FC03">
              <w:rPr>
                <w:rStyle w:val="normaltextrun"/>
                <w:rFonts w:asciiTheme="majorHAnsi" w:eastAsia="Arial" w:hAnsiTheme="majorHAnsi" w:cstheme="majorBidi"/>
                <w:i/>
                <w:iCs/>
                <w:color w:val="7F7F7F" w:themeColor="text1" w:themeTint="80"/>
                <w:sz w:val="18"/>
                <w:szCs w:val="18"/>
              </w:rPr>
              <w:t>Note: Raw data are in constant 2015 prices, expressed in U.S. dollars.</w:t>
            </w:r>
            <w:r w:rsidRPr="4E68FC03">
              <w:rPr>
                <w:sz w:val="18"/>
                <w:szCs w:val="18"/>
              </w:rPr>
              <w:t xml:space="preserve"> </w:t>
            </w:r>
            <w:r w:rsidRPr="4E68FC03">
              <w:rPr>
                <w:rStyle w:val="normaltextrun"/>
                <w:rFonts w:asciiTheme="majorHAnsi" w:eastAsia="Arial" w:hAnsiTheme="majorHAnsi" w:cstheme="majorBidi"/>
                <w:i/>
                <w:iCs/>
                <w:color w:val="7F7F7F" w:themeColor="text1" w:themeTint="80"/>
                <w:sz w:val="18"/>
                <w:szCs w:val="18"/>
              </w:rPr>
              <w:t>In the database, 2019 is the latest available year with information on value-added per worker.</w:t>
            </w:r>
            <w:r w:rsidR="000F71AF">
              <w:rPr>
                <w:rStyle w:val="normaltextrun"/>
                <w:rFonts w:asciiTheme="majorHAnsi" w:eastAsia="Arial" w:hAnsiTheme="majorHAnsi" w:cstheme="majorBidi"/>
                <w:i/>
                <w:iCs/>
                <w:color w:val="7F7F7F" w:themeColor="text1" w:themeTint="80"/>
                <w:sz w:val="18"/>
                <w:szCs w:val="18"/>
              </w:rPr>
              <w:t xml:space="preserve"> </w:t>
            </w:r>
            <w:r w:rsidR="000937F1">
              <w:rPr>
                <w:rStyle w:val="normaltextrun"/>
                <w:rFonts w:asciiTheme="majorHAnsi" w:eastAsia="Arial" w:hAnsiTheme="majorHAnsi" w:cstheme="majorBidi"/>
                <w:i/>
                <w:iCs/>
                <w:color w:val="7F7F7F" w:themeColor="text1" w:themeTint="80"/>
                <w:sz w:val="18"/>
                <w:szCs w:val="18"/>
              </w:rPr>
              <w:t xml:space="preserve">Non-agriculture includes industry and services. </w:t>
            </w:r>
          </w:p>
        </w:tc>
      </w:tr>
    </w:tbl>
    <w:p w14:paraId="53F7012F" w14:textId="7A6F4682" w:rsidR="00B05AB7" w:rsidRDefault="006F1CA4" w:rsidP="00DA5F16">
      <w:pPr>
        <w:pStyle w:val="ListParagraph"/>
        <w:tabs>
          <w:tab w:val="left" w:pos="450"/>
        </w:tabs>
        <w:spacing w:before="240" w:after="0"/>
        <w:ind w:left="0"/>
        <w:contextualSpacing w:val="0"/>
        <w:jc w:val="both"/>
        <w:rPr>
          <w:rStyle w:val="normaltextrun"/>
          <w:rFonts w:eastAsia="Arial" w:cstheme="minorHAnsi"/>
          <w:bCs/>
        </w:rPr>
      </w:pPr>
      <w:r w:rsidRPr="4E68FC03">
        <w:rPr>
          <w:rStyle w:val="normaltextrun"/>
          <w:rFonts w:eastAsia="Arial"/>
          <w:b/>
        </w:rPr>
        <w:t>The reallocation of labor away from agriculture played a</w:t>
      </w:r>
      <w:r w:rsidR="0007358B" w:rsidRPr="4E68FC03">
        <w:rPr>
          <w:rStyle w:val="normaltextrun"/>
          <w:rFonts w:eastAsia="Arial"/>
          <w:b/>
        </w:rPr>
        <w:t xml:space="preserve"> dominant role in driving aggregate </w:t>
      </w:r>
      <w:r w:rsidR="00D22832" w:rsidRPr="4E68FC03">
        <w:rPr>
          <w:rStyle w:val="normaltextrun"/>
          <w:rFonts w:eastAsia="Arial"/>
          <w:b/>
        </w:rPr>
        <w:t xml:space="preserve">productivity </w:t>
      </w:r>
      <w:r w:rsidR="0007358B" w:rsidRPr="4E68FC03">
        <w:rPr>
          <w:rStyle w:val="normaltextrun"/>
          <w:rFonts w:eastAsia="Arial"/>
          <w:b/>
        </w:rPr>
        <w:t>growth</w:t>
      </w:r>
      <w:r w:rsidR="0007358B">
        <w:rPr>
          <w:i/>
          <w:iCs/>
        </w:rPr>
        <w:t xml:space="preserve">. </w:t>
      </w:r>
      <w:r w:rsidR="00FA2914" w:rsidRPr="00740318">
        <w:t>Structural transformation</w:t>
      </w:r>
      <w:r w:rsidR="00545BAF">
        <w:t>—</w:t>
      </w:r>
      <w:r w:rsidR="00FC3DA0" w:rsidRPr="00FC3DA0">
        <w:t>the transition of an economy from low productivity</w:t>
      </w:r>
      <w:r w:rsidR="002B2901">
        <w:t xml:space="preserve">, low-skilled </w:t>
      </w:r>
      <w:r w:rsidR="00FC3DA0" w:rsidRPr="00FC3DA0">
        <w:t>and lab</w:t>
      </w:r>
      <w:r w:rsidR="00FC3DA0">
        <w:t>o</w:t>
      </w:r>
      <w:r w:rsidR="00FC3DA0" w:rsidRPr="00FC3DA0">
        <w:t>r-intensive economic activities to higher productivity and skill intensive activities</w:t>
      </w:r>
      <w:r w:rsidR="00545BAF">
        <w:t>—</w:t>
      </w:r>
      <w:r w:rsidR="00FA2914" w:rsidRPr="00740318">
        <w:t xml:space="preserve">is a key </w:t>
      </w:r>
      <w:r w:rsidR="00EC7046">
        <w:t>driver</w:t>
      </w:r>
      <w:r w:rsidR="00FA2914" w:rsidRPr="00740318">
        <w:t xml:space="preserve"> of productivity </w:t>
      </w:r>
      <w:r w:rsidR="00EC7046">
        <w:t xml:space="preserve">growth </w:t>
      </w:r>
      <w:r w:rsidR="00FA2914" w:rsidRPr="00740318">
        <w:t>in low- and middle-income economies</w:t>
      </w:r>
      <w:r w:rsidR="00FA2914" w:rsidRPr="00FA2914">
        <w:rPr>
          <w:i/>
          <w:iCs/>
        </w:rPr>
        <w:t>.</w:t>
      </w:r>
      <w:r w:rsidR="00F83F5D" w:rsidRPr="00740318">
        <w:rPr>
          <w:rStyle w:val="FootnoteReference"/>
        </w:rPr>
        <w:footnoteReference w:id="22"/>
      </w:r>
      <w:r w:rsidR="00FA2914">
        <w:rPr>
          <w:i/>
          <w:iCs/>
        </w:rPr>
        <w:t xml:space="preserve"> </w:t>
      </w:r>
      <w:r w:rsidR="00EF2069">
        <w:t>T</w:t>
      </w:r>
      <w:r w:rsidR="00FF70C3" w:rsidRPr="00740318">
        <w:t xml:space="preserve">his process of structural transformation </w:t>
      </w:r>
      <w:r w:rsidR="004802E4">
        <w:t xml:space="preserve">significantly contributed to </w:t>
      </w:r>
      <w:r w:rsidR="00FF70C3" w:rsidRPr="00740318">
        <w:t>aggregate productivity growth</w:t>
      </w:r>
      <w:r w:rsidR="00240ADF">
        <w:t xml:space="preserve"> </w:t>
      </w:r>
      <w:r w:rsidR="004802E4">
        <w:t>in Viet Nam</w:t>
      </w:r>
      <w:r w:rsidR="00DA61D1">
        <w:t>. B</w:t>
      </w:r>
      <w:r w:rsidR="00493F27" w:rsidRPr="00E56A94">
        <w:t>etween 2000 and 2019, the share of employment in agriculture declined from 65 percent to 35 percent</w:t>
      </w:r>
      <w:r w:rsidR="00DA5F16">
        <w:t xml:space="preserve"> </w:t>
      </w:r>
      <w:r w:rsidR="001775A9" w:rsidRPr="4E68FC03">
        <w:rPr>
          <w:rStyle w:val="normaltextrun"/>
          <w:rFonts w:eastAsia="Arial"/>
        </w:rPr>
        <w:t>(</w:t>
      </w:r>
      <w:r w:rsidR="00170016">
        <w:rPr>
          <w:rStyle w:val="normaltextrun"/>
          <w:rFonts w:eastAsia="Arial"/>
        </w:rPr>
        <w:t>F</w:t>
      </w:r>
      <w:r w:rsidR="00170016" w:rsidRPr="4E68FC03">
        <w:rPr>
          <w:rStyle w:val="normaltextrun"/>
          <w:rFonts w:eastAsia="Arial"/>
        </w:rPr>
        <w:t xml:space="preserve">igure </w:t>
      </w:r>
      <w:r w:rsidR="00170016">
        <w:rPr>
          <w:rStyle w:val="normaltextrun"/>
          <w:rFonts w:eastAsia="Arial"/>
        </w:rPr>
        <w:t>3</w:t>
      </w:r>
      <w:r w:rsidR="001775A9" w:rsidRPr="4E68FC03">
        <w:rPr>
          <w:rStyle w:val="normaltextrun"/>
          <w:rFonts w:eastAsia="Arial"/>
        </w:rPr>
        <w:t xml:space="preserve">a). </w:t>
      </w:r>
      <w:r w:rsidR="00B05AB7" w:rsidRPr="4E68FC03">
        <w:rPr>
          <w:rStyle w:val="normaltextrun"/>
          <w:rFonts w:eastAsia="Arial"/>
        </w:rPr>
        <w:t xml:space="preserve">This reallocation of employment </w:t>
      </w:r>
      <w:r w:rsidR="00D83A0D" w:rsidRPr="4E68FC03">
        <w:rPr>
          <w:rStyle w:val="normaltextrun"/>
          <w:rFonts w:eastAsia="Arial"/>
        </w:rPr>
        <w:t>accounted</w:t>
      </w:r>
      <w:r w:rsidR="00B05AB7" w:rsidRPr="4E68FC03">
        <w:rPr>
          <w:rStyle w:val="normaltextrun"/>
          <w:rFonts w:eastAsia="Arial"/>
        </w:rPr>
        <w:t xml:space="preserve"> for almost half of the total cumulative aggregate growth in the country over the period (orange bar in </w:t>
      </w:r>
      <w:r w:rsidR="00116FBB">
        <w:rPr>
          <w:rStyle w:val="normaltextrun"/>
          <w:rFonts w:eastAsia="Arial"/>
        </w:rPr>
        <w:t>Figure 3</w:t>
      </w:r>
      <w:r w:rsidR="00B05AB7" w:rsidRPr="4E68FC03">
        <w:rPr>
          <w:rStyle w:val="normaltextrun"/>
          <w:rFonts w:eastAsia="Arial"/>
        </w:rPr>
        <w:t>b)</w:t>
      </w:r>
      <w:r w:rsidR="00365AFE" w:rsidRPr="4E68FC03">
        <w:rPr>
          <w:rStyle w:val="normaltextrun"/>
          <w:rFonts w:eastAsia="Arial"/>
        </w:rPr>
        <w:t>.</w:t>
      </w:r>
      <w:r w:rsidR="00675EB7" w:rsidRPr="00675EB7">
        <w:t xml:space="preserve"> </w:t>
      </w:r>
    </w:p>
    <w:p w14:paraId="640CB88C" w14:textId="19F0E8E8" w:rsidR="001132C8" w:rsidRPr="00740318" w:rsidRDefault="001132C8" w:rsidP="00AA6635">
      <w:pPr>
        <w:keepNext/>
        <w:tabs>
          <w:tab w:val="left" w:pos="450"/>
        </w:tabs>
        <w:spacing w:before="240" w:after="0"/>
        <w:jc w:val="both"/>
        <w:rPr>
          <w:b/>
          <w:color w:val="4472C4" w:themeColor="accent1"/>
          <w:sz w:val="20"/>
          <w:szCs w:val="20"/>
        </w:rPr>
      </w:pPr>
      <w:r w:rsidRPr="00740318">
        <w:rPr>
          <w:b/>
          <w:color w:val="4472C4" w:themeColor="accent1"/>
          <w:sz w:val="20"/>
          <w:szCs w:val="20"/>
        </w:rPr>
        <w:lastRenderedPageBreak/>
        <w:t xml:space="preserve">Figure </w:t>
      </w:r>
      <w:r w:rsidR="00434BAE">
        <w:rPr>
          <w:b/>
          <w:color w:val="4472C4" w:themeColor="accent1"/>
          <w:sz w:val="20"/>
          <w:szCs w:val="20"/>
        </w:rPr>
        <w:t>3</w:t>
      </w:r>
      <w:r w:rsidRPr="00740318">
        <w:rPr>
          <w:b/>
          <w:color w:val="4472C4" w:themeColor="accent1"/>
          <w:sz w:val="20"/>
          <w:szCs w:val="20"/>
        </w:rPr>
        <w:t>. Viet</w:t>
      </w:r>
      <w:r w:rsidR="00B73D80" w:rsidRPr="00740318">
        <w:rPr>
          <w:b/>
          <w:color w:val="4472C4" w:themeColor="accent1"/>
          <w:sz w:val="20"/>
          <w:szCs w:val="20"/>
        </w:rPr>
        <w:t xml:space="preserve"> N</w:t>
      </w:r>
      <w:r w:rsidRPr="00740318">
        <w:rPr>
          <w:b/>
          <w:color w:val="4472C4" w:themeColor="accent1"/>
          <w:sz w:val="20"/>
          <w:szCs w:val="20"/>
        </w:rPr>
        <w:t xml:space="preserve">am’s </w:t>
      </w:r>
      <w:r w:rsidR="00B73D80" w:rsidRPr="00740318">
        <w:rPr>
          <w:b/>
          <w:color w:val="4472C4" w:themeColor="accent1"/>
          <w:sz w:val="20"/>
          <w:szCs w:val="20"/>
        </w:rPr>
        <w:t>structural changes have shifted workers from low-productivity agriculture to the nonagricultural sector</w:t>
      </w:r>
      <w:r w:rsidRPr="00740318">
        <w:rPr>
          <w:b/>
          <w:color w:val="4472C4" w:themeColor="accent1"/>
          <w:sz w:val="20"/>
          <w:szCs w:val="20"/>
        </w:rPr>
        <w:t>.</w:t>
      </w:r>
    </w:p>
    <w:tbl>
      <w:tblPr>
        <w:tblStyle w:val="TableGrid"/>
        <w:tblW w:w="5117"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222"/>
        <w:gridCol w:w="4671"/>
      </w:tblGrid>
      <w:tr w:rsidR="001132C8" w:rsidRPr="003F6C71" w14:paraId="73FE34C5" w14:textId="77777777" w:rsidTr="15E5BA73">
        <w:tc>
          <w:tcPr>
            <w:tcW w:w="2446" w:type="pct"/>
          </w:tcPr>
          <w:p w14:paraId="5710BF0E" w14:textId="2F4954E1" w:rsidR="001132C8" w:rsidRPr="00111B61" w:rsidRDefault="001132C8" w:rsidP="00740318">
            <w:pPr>
              <w:keepNext/>
              <w:keepLines/>
              <w:spacing w:before="120"/>
              <w:rPr>
                <w:rFonts w:asciiTheme="majorHAnsi" w:hAnsiTheme="majorHAnsi" w:cstheme="majorHAnsi"/>
              </w:rPr>
            </w:pPr>
            <w:r w:rsidRPr="00740318">
              <w:rPr>
                <w:color w:val="4472C4" w:themeColor="accent1"/>
                <w:sz w:val="20"/>
                <w:szCs w:val="20"/>
              </w:rPr>
              <w:t xml:space="preserve">a. </w:t>
            </w:r>
            <w:r w:rsidR="00B830A1" w:rsidRPr="00740318">
              <w:rPr>
                <w:color w:val="4472C4" w:themeColor="accent1"/>
                <w:sz w:val="20"/>
                <w:szCs w:val="20"/>
              </w:rPr>
              <w:t>Employment share in agriculture and non-agriculture sectors</w:t>
            </w:r>
            <w:r w:rsidR="00B830A1">
              <w:rPr>
                <w:bCs/>
                <w:color w:val="4472C4" w:themeColor="accent1"/>
                <w:sz w:val="20"/>
                <w:szCs w:val="20"/>
              </w:rPr>
              <w:t xml:space="preserve"> </w:t>
            </w:r>
            <w:r w:rsidR="00B830A1">
              <w:rPr>
                <w:color w:val="4472C4" w:themeColor="accent1"/>
                <w:sz w:val="20"/>
                <w:szCs w:val="20"/>
              </w:rPr>
              <w:t>(</w:t>
            </w:r>
            <w:r w:rsidR="00FD030C">
              <w:rPr>
                <w:color w:val="4472C4" w:themeColor="accent1"/>
                <w:sz w:val="20"/>
                <w:szCs w:val="20"/>
              </w:rPr>
              <w:t>percent</w:t>
            </w:r>
            <w:r w:rsidR="00B830A1">
              <w:rPr>
                <w:color w:val="4472C4" w:themeColor="accent1"/>
                <w:sz w:val="20"/>
                <w:szCs w:val="20"/>
              </w:rPr>
              <w:t>)</w:t>
            </w:r>
          </w:p>
        </w:tc>
        <w:tc>
          <w:tcPr>
            <w:tcW w:w="116" w:type="pct"/>
          </w:tcPr>
          <w:p w14:paraId="387E6104" w14:textId="77777777" w:rsidR="001132C8" w:rsidRPr="003F6C71" w:rsidRDefault="001132C8" w:rsidP="00740318">
            <w:pPr>
              <w:keepNext/>
              <w:keepLines/>
              <w:spacing w:before="120"/>
              <w:rPr>
                <w:rFonts w:asciiTheme="majorHAnsi" w:hAnsiTheme="majorHAnsi" w:cstheme="majorHAnsi"/>
                <w:b/>
                <w:bCs/>
              </w:rPr>
            </w:pPr>
          </w:p>
        </w:tc>
        <w:tc>
          <w:tcPr>
            <w:tcW w:w="2438" w:type="pct"/>
          </w:tcPr>
          <w:p w14:paraId="635CA3A1" w14:textId="2B4A1581" w:rsidR="001132C8" w:rsidRPr="00740318" w:rsidRDefault="001132C8" w:rsidP="00740318">
            <w:pPr>
              <w:keepNext/>
              <w:keepLines/>
              <w:spacing w:before="120"/>
              <w:jc w:val="both"/>
              <w:rPr>
                <w:color w:val="4472C4" w:themeColor="accent1"/>
                <w:sz w:val="20"/>
                <w:szCs w:val="20"/>
              </w:rPr>
            </w:pPr>
            <w:r w:rsidRPr="00740318">
              <w:rPr>
                <w:color w:val="4472C4" w:themeColor="accent1"/>
                <w:sz w:val="20"/>
                <w:szCs w:val="20"/>
              </w:rPr>
              <w:t xml:space="preserve">b. </w:t>
            </w:r>
            <w:r w:rsidR="004E46BA" w:rsidRPr="004E46BA">
              <w:rPr>
                <w:bCs/>
                <w:color w:val="4472C4" w:themeColor="accent1"/>
                <w:sz w:val="20"/>
                <w:szCs w:val="20"/>
              </w:rPr>
              <w:t>Contribution of sector reallocation to value added per worker growth</w:t>
            </w:r>
            <w:r w:rsidRPr="004E46BA">
              <w:rPr>
                <w:color w:val="4472C4" w:themeColor="accent1"/>
                <w:sz w:val="20"/>
                <w:szCs w:val="20"/>
              </w:rPr>
              <w:t xml:space="preserve"> </w:t>
            </w:r>
          </w:p>
        </w:tc>
      </w:tr>
      <w:tr w:rsidR="001132C8" w:rsidRPr="00013A7E" w14:paraId="7E1CF31E" w14:textId="77777777" w:rsidTr="002B5101">
        <w:trPr>
          <w:trHeight w:val="2385"/>
        </w:trPr>
        <w:tc>
          <w:tcPr>
            <w:tcW w:w="2446" w:type="pct"/>
          </w:tcPr>
          <w:p w14:paraId="7A3B6F3C" w14:textId="1C5DA129" w:rsidR="001132C8" w:rsidRPr="00013A7E" w:rsidRDefault="009D3FFA" w:rsidP="15E5BA73">
            <w:pPr>
              <w:widowControl w:val="0"/>
              <w:spacing w:before="120"/>
              <w:rPr>
                <w:rFonts w:asciiTheme="majorHAnsi" w:hAnsiTheme="majorHAnsi" w:cstheme="majorBidi"/>
              </w:rPr>
            </w:pPr>
            <w:r>
              <w:rPr>
                <w:noProof/>
              </w:rPr>
              <w:drawing>
                <wp:inline distT="0" distB="0" distL="0" distR="0" wp14:anchorId="1D3BC927" wp14:editId="7C4C49B5">
                  <wp:extent cx="2736376" cy="1876425"/>
                  <wp:effectExtent l="0" t="0" r="6985" b="9525"/>
                  <wp:docPr id="144" name="Chart 144">
                    <a:extLst xmlns:a="http://schemas.openxmlformats.org/drawingml/2006/main">
                      <a:ext uri="{FF2B5EF4-FFF2-40B4-BE49-F238E27FC236}">
                        <a16:creationId xmlns:a16="http://schemas.microsoft.com/office/drawing/2014/main" id="{28D00CC7-FE1D-4A2C-B6D0-FB7BCB105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116" w:type="pct"/>
          </w:tcPr>
          <w:p w14:paraId="552752CC" w14:textId="77777777" w:rsidR="001132C8" w:rsidRDefault="001132C8">
            <w:pPr>
              <w:widowControl w:val="0"/>
              <w:spacing w:before="120"/>
              <w:rPr>
                <w:rFonts w:asciiTheme="majorHAnsi" w:hAnsiTheme="majorHAnsi" w:cstheme="majorHAnsi"/>
                <w:noProof/>
              </w:rPr>
            </w:pPr>
          </w:p>
        </w:tc>
        <w:tc>
          <w:tcPr>
            <w:tcW w:w="2438" w:type="pct"/>
          </w:tcPr>
          <w:p w14:paraId="60A03BA4" w14:textId="2420B170" w:rsidR="001132C8" w:rsidRPr="00013A7E" w:rsidRDefault="002B5101" w:rsidP="15E5BA73">
            <w:pPr>
              <w:widowControl w:val="0"/>
              <w:spacing w:before="120"/>
              <w:rPr>
                <w:rFonts w:asciiTheme="majorHAnsi" w:hAnsiTheme="majorHAnsi" w:cstheme="majorBidi"/>
              </w:rPr>
            </w:pPr>
            <w:r>
              <w:rPr>
                <w:noProof/>
                <w14:ligatures w14:val="standardContextual"/>
              </w:rPr>
              <w:drawing>
                <wp:inline distT="0" distB="0" distL="0" distR="0" wp14:anchorId="47B84D97" wp14:editId="0485792B">
                  <wp:extent cx="2743200" cy="1728724"/>
                  <wp:effectExtent l="0" t="0" r="0" b="5080"/>
                  <wp:docPr id="11" name="Chart 11">
                    <a:extLst xmlns:a="http://schemas.openxmlformats.org/drawingml/2006/main">
                      <a:ext uri="{FF2B5EF4-FFF2-40B4-BE49-F238E27FC236}">
                        <a16:creationId xmlns:a16="http://schemas.microsoft.com/office/drawing/2014/main" id="{D3EEF16D-6B99-DD14-3113-606D69431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132C8" w:rsidRPr="00E52588" w14:paraId="7077EEFF" w14:textId="77777777" w:rsidTr="15E5BA73">
        <w:trPr>
          <w:trHeight w:val="990"/>
        </w:trPr>
        <w:tc>
          <w:tcPr>
            <w:tcW w:w="5000" w:type="pct"/>
            <w:gridSpan w:val="3"/>
          </w:tcPr>
          <w:p w14:paraId="37A7BF5C" w14:textId="530265EA" w:rsidR="001132C8" w:rsidRPr="00740318" w:rsidRDefault="001132C8">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740318">
              <w:rPr>
                <w:rStyle w:val="normaltextrun"/>
                <w:rFonts w:asciiTheme="majorHAnsi" w:eastAsia="Arial" w:hAnsiTheme="majorHAnsi" w:cstheme="majorHAnsi"/>
                <w:i/>
                <w:color w:val="7F7F7F" w:themeColor="text1" w:themeTint="80"/>
                <w:sz w:val="18"/>
                <w:szCs w:val="18"/>
              </w:rPr>
              <w:t>Source: WB World Development Indicators (WDI) using the I</w:t>
            </w:r>
            <w:r w:rsidR="00917054">
              <w:rPr>
                <w:rStyle w:val="normaltextrun"/>
                <w:rFonts w:asciiTheme="majorHAnsi" w:eastAsia="Arial" w:hAnsiTheme="majorHAnsi" w:cstheme="majorHAnsi"/>
                <w:i/>
                <w:color w:val="7F7F7F" w:themeColor="text1" w:themeTint="80"/>
                <w:sz w:val="18"/>
                <w:szCs w:val="18"/>
              </w:rPr>
              <w:t>CA</w:t>
            </w:r>
            <w:r w:rsidRPr="00740318">
              <w:rPr>
                <w:rStyle w:val="normaltextrun"/>
                <w:rFonts w:asciiTheme="majorHAnsi" w:eastAsia="Arial" w:hAnsiTheme="majorHAnsi" w:cstheme="majorHAnsi"/>
                <w:i/>
                <w:color w:val="7F7F7F" w:themeColor="text1" w:themeTint="80"/>
                <w:sz w:val="18"/>
                <w:szCs w:val="18"/>
              </w:rPr>
              <w:t xml:space="preserve"> 2.0 Tool. </w:t>
            </w:r>
          </w:p>
          <w:p w14:paraId="3964F0D5" w14:textId="16EDB1CD" w:rsidR="001132C8" w:rsidRPr="00E52588" w:rsidRDefault="001132C8">
            <w:pPr>
              <w:widowControl w:val="0"/>
              <w:jc w:val="both"/>
              <w:rPr>
                <w:rFonts w:asciiTheme="majorHAnsi" w:hAnsiTheme="majorHAnsi" w:cstheme="majorHAnsi"/>
                <w:b/>
                <w:bCs/>
                <w:sz w:val="20"/>
                <w:szCs w:val="20"/>
              </w:rPr>
            </w:pPr>
            <w:r w:rsidRPr="00740318">
              <w:rPr>
                <w:rStyle w:val="normaltextrun"/>
                <w:rFonts w:asciiTheme="majorHAnsi" w:eastAsia="Arial" w:hAnsiTheme="majorHAnsi" w:cstheme="majorHAnsi"/>
                <w:i/>
                <w:color w:val="7F7F7F" w:themeColor="text1" w:themeTint="80"/>
                <w:sz w:val="18"/>
                <w:szCs w:val="18"/>
              </w:rPr>
              <w:t xml:space="preserve">Note: Raw data are in constant 2015 prices, expressed in U.S. dollars. </w:t>
            </w:r>
            <w:r w:rsidR="0075798C" w:rsidRPr="00740318">
              <w:rPr>
                <w:rStyle w:val="normaltextrun"/>
                <w:rFonts w:asciiTheme="majorHAnsi" w:eastAsia="Arial" w:hAnsiTheme="majorHAnsi" w:cstheme="majorHAnsi"/>
                <w:i/>
                <w:color w:val="7F7F7F" w:themeColor="text1" w:themeTint="80"/>
                <w:sz w:val="18"/>
                <w:szCs w:val="18"/>
              </w:rPr>
              <w:t>Contribution of sector reallocation is computed as the difference between actual productivity growth and the counterfactual productivity growth obtained by holding sector productivity fixed at its 2019 level and multiplying it by the 2000 sector employment shares.</w:t>
            </w:r>
          </w:p>
        </w:tc>
      </w:tr>
    </w:tbl>
    <w:p w14:paraId="13CCEFE3" w14:textId="58D311E0" w:rsidR="00522098" w:rsidRDefault="00915E57" w:rsidP="00025265">
      <w:pPr>
        <w:jc w:val="both"/>
        <w:rPr>
          <w:rStyle w:val="normaltextrun"/>
        </w:rPr>
      </w:pPr>
      <w:r>
        <w:rPr>
          <w:rStyle w:val="normaltextrun"/>
          <w:rFonts w:eastAsia="Arial"/>
          <w:b/>
        </w:rPr>
        <w:t>T</w:t>
      </w:r>
      <w:r w:rsidR="000F57C3" w:rsidRPr="4E68FC03">
        <w:rPr>
          <w:rStyle w:val="normaltextrun"/>
          <w:rFonts w:eastAsia="Arial"/>
          <w:b/>
        </w:rPr>
        <w:t xml:space="preserve">he contribution of capital accumulation to productivity growth has been limited </w:t>
      </w:r>
      <w:r w:rsidR="002C31D6" w:rsidRPr="4E68FC03">
        <w:rPr>
          <w:rStyle w:val="normaltextrun"/>
          <w:rFonts w:eastAsia="Arial"/>
          <w:b/>
        </w:rPr>
        <w:t xml:space="preserve">and </w:t>
      </w:r>
      <w:r w:rsidR="000F1F8D" w:rsidRPr="4E68FC03">
        <w:rPr>
          <w:rStyle w:val="normaltextrun"/>
          <w:rFonts w:eastAsia="Arial"/>
          <w:b/>
        </w:rPr>
        <w:t>capital intensity of the Vietnamese business sector remains low</w:t>
      </w:r>
      <w:r w:rsidR="000F1F8D" w:rsidRPr="4E68FC03">
        <w:rPr>
          <w:rStyle w:val="normaltextrun"/>
          <w:rFonts w:eastAsia="Arial"/>
        </w:rPr>
        <w:t>.</w:t>
      </w:r>
      <w:r w:rsidR="00BA4C07" w:rsidRPr="4E68FC03">
        <w:rPr>
          <w:rStyle w:val="normaltextrun"/>
          <w:b/>
        </w:rPr>
        <w:t xml:space="preserve"> </w:t>
      </w:r>
      <w:r w:rsidR="00BA4C07" w:rsidRPr="4E68FC03">
        <w:rPr>
          <w:rStyle w:val="normaltextrun"/>
        </w:rPr>
        <w:t xml:space="preserve">Physical capital accumulation has increased over the years </w:t>
      </w:r>
      <w:r w:rsidR="006A7313" w:rsidRPr="4E68FC03">
        <w:rPr>
          <w:rStyle w:val="normaltextrun"/>
        </w:rPr>
        <w:t xml:space="preserve">in Viet Nam </w:t>
      </w:r>
      <w:r w:rsidR="003D5823" w:rsidRPr="4E68FC03">
        <w:rPr>
          <w:rStyle w:val="normaltextrun"/>
        </w:rPr>
        <w:t xml:space="preserve">mainly </w:t>
      </w:r>
      <w:r w:rsidR="00BA4C07" w:rsidRPr="4E68FC03">
        <w:rPr>
          <w:rStyle w:val="normaltextrun"/>
        </w:rPr>
        <w:t xml:space="preserve">due to </w:t>
      </w:r>
      <w:r w:rsidR="003D5823" w:rsidRPr="4E68FC03">
        <w:rPr>
          <w:rStyle w:val="normaltextrun"/>
        </w:rPr>
        <w:t>an increase</w:t>
      </w:r>
      <w:r w:rsidR="00DC4456">
        <w:rPr>
          <w:rStyle w:val="normaltextrun"/>
        </w:rPr>
        <w:t xml:space="preserve"> of capital</w:t>
      </w:r>
      <w:r w:rsidR="003D5823" w:rsidRPr="4E68FC03">
        <w:rPr>
          <w:rStyle w:val="normaltextrun"/>
        </w:rPr>
        <w:t xml:space="preserve"> in the service sector and </w:t>
      </w:r>
      <w:r w:rsidR="00BA4C07" w:rsidRPr="4E68FC03">
        <w:rPr>
          <w:rStyle w:val="normaltextrun"/>
        </w:rPr>
        <w:t xml:space="preserve">a </w:t>
      </w:r>
      <w:r w:rsidR="003D5823" w:rsidRPr="4E68FC03">
        <w:rPr>
          <w:rStyle w:val="normaltextrun"/>
        </w:rPr>
        <w:t xml:space="preserve">very </w:t>
      </w:r>
      <w:r w:rsidR="00BA4C07" w:rsidRPr="4E68FC03">
        <w:rPr>
          <w:rStyle w:val="normaltextrun"/>
        </w:rPr>
        <w:t>mild upward trend in the manufacturing sector (</w:t>
      </w:r>
      <w:r w:rsidR="00431FDE">
        <w:rPr>
          <w:rStyle w:val="normaltextrun"/>
        </w:rPr>
        <w:t>F</w:t>
      </w:r>
      <w:r w:rsidR="00431FDE" w:rsidRPr="4E68FC03">
        <w:rPr>
          <w:rStyle w:val="normaltextrun"/>
        </w:rPr>
        <w:t xml:space="preserve">igure </w:t>
      </w:r>
      <w:r w:rsidR="00A6698A" w:rsidRPr="4E68FC03">
        <w:rPr>
          <w:rStyle w:val="normaltextrun"/>
        </w:rPr>
        <w:t>4</w:t>
      </w:r>
      <w:r w:rsidR="00BA4C07" w:rsidRPr="4E68FC03">
        <w:rPr>
          <w:rStyle w:val="normaltextrun"/>
        </w:rPr>
        <w:t xml:space="preserve">a). </w:t>
      </w:r>
      <w:r w:rsidR="00897796">
        <w:rPr>
          <w:rStyle w:val="normaltextrun"/>
          <w:rFonts w:cstheme="minorHAnsi"/>
        </w:rPr>
        <w:t>However</w:t>
      </w:r>
      <w:r w:rsidR="00340280" w:rsidRPr="00D05CA9">
        <w:rPr>
          <w:rStyle w:val="normaltextrun"/>
          <w:rFonts w:cstheme="minorHAnsi"/>
        </w:rPr>
        <w:t xml:space="preserve">, the contribution of capital accumulation to productivity growth has been </w:t>
      </w:r>
      <w:r w:rsidR="00340280">
        <w:rPr>
          <w:rStyle w:val="normaltextrun"/>
          <w:rFonts w:cstheme="minorHAnsi"/>
        </w:rPr>
        <w:t xml:space="preserve">limited. Besides </w:t>
      </w:r>
      <w:r w:rsidR="00340280" w:rsidRPr="00D05CA9">
        <w:rPr>
          <w:rStyle w:val="normaltextrun"/>
          <w:rFonts w:cstheme="minorHAnsi"/>
        </w:rPr>
        <w:t>structural transformation</w:t>
      </w:r>
      <w:r w:rsidR="00340280">
        <w:rPr>
          <w:rStyle w:val="normaltextrun"/>
          <w:rFonts w:cstheme="minorHAnsi"/>
        </w:rPr>
        <w:t>,</w:t>
      </w:r>
      <w:r w:rsidR="00340280" w:rsidRPr="00D05CA9">
        <w:rPr>
          <w:rStyle w:val="normaltextrun"/>
          <w:rFonts w:cstheme="minorHAnsi"/>
        </w:rPr>
        <w:t xml:space="preserve"> total factor productivity (TFP) ha</w:t>
      </w:r>
      <w:r w:rsidR="00340280">
        <w:rPr>
          <w:rStyle w:val="normaltextrun"/>
          <w:rFonts w:cstheme="minorHAnsi"/>
        </w:rPr>
        <w:t>s</w:t>
      </w:r>
      <w:r w:rsidR="00340280" w:rsidRPr="00D05CA9">
        <w:rPr>
          <w:rStyle w:val="normaltextrun"/>
          <w:rFonts w:cstheme="minorHAnsi"/>
        </w:rPr>
        <w:t xml:space="preserve"> led to productivity enhancements </w:t>
      </w:r>
      <w:r w:rsidR="00340280">
        <w:rPr>
          <w:rStyle w:val="normaltextrun"/>
          <w:rFonts w:cstheme="minorHAnsi"/>
        </w:rPr>
        <w:t xml:space="preserve">in the country </w:t>
      </w:r>
      <w:r w:rsidR="00BA4C07" w:rsidRPr="4E68FC03">
        <w:rPr>
          <w:rStyle w:val="normaltextrun"/>
        </w:rPr>
        <w:t>(</w:t>
      </w:r>
      <w:r w:rsidR="00431FDE">
        <w:rPr>
          <w:rStyle w:val="normaltextrun"/>
        </w:rPr>
        <w:t>F</w:t>
      </w:r>
      <w:r w:rsidR="00431FDE" w:rsidRPr="4E68FC03">
        <w:rPr>
          <w:rStyle w:val="normaltextrun"/>
        </w:rPr>
        <w:t xml:space="preserve">igure </w:t>
      </w:r>
      <w:r w:rsidR="00A6698A" w:rsidRPr="4E68FC03">
        <w:rPr>
          <w:rStyle w:val="normaltextrun"/>
        </w:rPr>
        <w:t>4</w:t>
      </w:r>
      <w:r w:rsidR="00BA4C07" w:rsidRPr="4E68FC03">
        <w:rPr>
          <w:rStyle w:val="normaltextrun"/>
        </w:rPr>
        <w:t>b).</w:t>
      </w:r>
      <w:r w:rsidR="004B4011" w:rsidRPr="4E68FC03">
        <w:rPr>
          <w:rStyle w:val="normaltextrun"/>
        </w:rPr>
        <w:t xml:space="preserve"> </w:t>
      </w:r>
      <w:r w:rsidR="00343B5A">
        <w:rPr>
          <w:rStyle w:val="normaltextrun"/>
        </w:rPr>
        <w:t>T</w:t>
      </w:r>
      <w:r w:rsidR="00055961" w:rsidRPr="4E68FC03">
        <w:rPr>
          <w:rStyle w:val="normaltextrun"/>
        </w:rPr>
        <w:t xml:space="preserve">he average </w:t>
      </w:r>
      <w:r w:rsidR="00C87EC5">
        <w:rPr>
          <w:rStyle w:val="normaltextrun"/>
        </w:rPr>
        <w:t xml:space="preserve">capital stock </w:t>
      </w:r>
      <w:r w:rsidR="00055961" w:rsidRPr="4E68FC03">
        <w:rPr>
          <w:rStyle w:val="normaltextrun"/>
        </w:rPr>
        <w:t xml:space="preserve">in the </w:t>
      </w:r>
      <w:r w:rsidR="00A64ADC">
        <w:rPr>
          <w:rStyle w:val="normaltextrun"/>
        </w:rPr>
        <w:t>country</w:t>
      </w:r>
      <w:r w:rsidR="00343B5A">
        <w:rPr>
          <w:rStyle w:val="normaltextrun"/>
        </w:rPr>
        <w:t xml:space="preserve"> is quite low</w:t>
      </w:r>
      <w:r w:rsidR="00343B5A" w:rsidRPr="4E68FC03">
        <w:rPr>
          <w:rStyle w:val="normaltextrun"/>
        </w:rPr>
        <w:t xml:space="preserve"> </w:t>
      </w:r>
      <w:r w:rsidR="00055961" w:rsidRPr="4E68FC03">
        <w:rPr>
          <w:rStyle w:val="normaltextrun"/>
        </w:rPr>
        <w:t xml:space="preserve">compared </w:t>
      </w:r>
      <w:r w:rsidR="00343B5A">
        <w:rPr>
          <w:rStyle w:val="normaltextrun"/>
        </w:rPr>
        <w:t>to</w:t>
      </w:r>
      <w:r w:rsidR="00343B5A" w:rsidRPr="4E68FC03">
        <w:rPr>
          <w:rStyle w:val="normaltextrun"/>
        </w:rPr>
        <w:t xml:space="preserve"> </w:t>
      </w:r>
      <w:r w:rsidR="00592548" w:rsidRPr="4E68FC03">
        <w:rPr>
          <w:rStyle w:val="normaltextrun"/>
        </w:rPr>
        <w:t>other</w:t>
      </w:r>
      <w:r w:rsidR="00055961" w:rsidRPr="4E68FC03">
        <w:rPr>
          <w:rStyle w:val="normaltextrun"/>
        </w:rPr>
        <w:t xml:space="preserve"> countries (</w:t>
      </w:r>
      <w:r w:rsidR="00D2409D">
        <w:rPr>
          <w:rStyle w:val="normaltextrun"/>
        </w:rPr>
        <w:t>F</w:t>
      </w:r>
      <w:r w:rsidR="00D2409D" w:rsidRPr="4E68FC03">
        <w:rPr>
          <w:rStyle w:val="normaltextrun"/>
        </w:rPr>
        <w:t xml:space="preserve">igure </w:t>
      </w:r>
      <w:r w:rsidR="00055961" w:rsidRPr="4E68FC03">
        <w:rPr>
          <w:rStyle w:val="normaltextrun"/>
        </w:rPr>
        <w:t>4 c).</w:t>
      </w:r>
      <w:r w:rsidR="00EC0035" w:rsidRPr="4E68FC03">
        <w:rPr>
          <w:rStyle w:val="normaltextrun"/>
        </w:rPr>
        <w:t xml:space="preserve"> </w:t>
      </w:r>
      <w:r w:rsidR="00816BA8" w:rsidRPr="4E68FC03">
        <w:rPr>
          <w:rStyle w:val="normaltextrun"/>
        </w:rPr>
        <w:t xml:space="preserve">In </w:t>
      </w:r>
      <w:r w:rsidR="00EC0035" w:rsidRPr="4E68FC03">
        <w:rPr>
          <w:rStyle w:val="normaltextrun"/>
        </w:rPr>
        <w:t>Viet Nam</w:t>
      </w:r>
      <w:r w:rsidR="00703690">
        <w:rPr>
          <w:rStyle w:val="normaltextrun"/>
        </w:rPr>
        <w:t>,</w:t>
      </w:r>
      <w:r w:rsidR="00EC0035" w:rsidRPr="4E68FC03">
        <w:rPr>
          <w:rStyle w:val="normaltextrun"/>
        </w:rPr>
        <w:t xml:space="preserve"> the </w:t>
      </w:r>
      <w:r w:rsidR="000313F8">
        <w:rPr>
          <w:rStyle w:val="normaltextrun"/>
        </w:rPr>
        <w:t xml:space="preserve">average </w:t>
      </w:r>
      <w:r w:rsidR="008229D2">
        <w:rPr>
          <w:rStyle w:val="normaltextrun"/>
        </w:rPr>
        <w:t xml:space="preserve">private </w:t>
      </w:r>
      <w:r w:rsidR="00EC0035" w:rsidRPr="4E68FC03">
        <w:rPr>
          <w:rStyle w:val="normaltextrun"/>
        </w:rPr>
        <w:t xml:space="preserve">capital </w:t>
      </w:r>
      <w:r w:rsidR="002F0501">
        <w:rPr>
          <w:rStyle w:val="normaltextrun"/>
        </w:rPr>
        <w:t xml:space="preserve">stock </w:t>
      </w:r>
      <w:r w:rsidR="005913F0">
        <w:rPr>
          <w:rStyle w:val="normaltextrun"/>
        </w:rPr>
        <w:t xml:space="preserve">between 2000 and 2019 </w:t>
      </w:r>
      <w:r w:rsidR="006903F3">
        <w:rPr>
          <w:rStyle w:val="normaltextrun"/>
        </w:rPr>
        <w:t xml:space="preserve">is </w:t>
      </w:r>
      <w:r w:rsidR="00EC0035" w:rsidRPr="4E68FC03">
        <w:rPr>
          <w:rStyle w:val="normaltextrun"/>
        </w:rPr>
        <w:t>low</w:t>
      </w:r>
      <w:r w:rsidR="006903F3">
        <w:rPr>
          <w:rStyle w:val="normaltextrun"/>
        </w:rPr>
        <w:t xml:space="preserve">er </w:t>
      </w:r>
      <w:r w:rsidR="00282C7B">
        <w:rPr>
          <w:rStyle w:val="normaltextrun"/>
        </w:rPr>
        <w:t xml:space="preserve">than </w:t>
      </w:r>
      <w:r w:rsidR="005913F0">
        <w:rPr>
          <w:rStyle w:val="normaltextrun"/>
        </w:rPr>
        <w:t>structural and aspirational countries</w:t>
      </w:r>
      <w:r w:rsidR="00EC0035" w:rsidRPr="4E68FC03">
        <w:rPr>
          <w:rStyle w:val="normaltextrun"/>
        </w:rPr>
        <w:t xml:space="preserve">, </w:t>
      </w:r>
      <w:r w:rsidR="00990508">
        <w:rPr>
          <w:rStyle w:val="normaltextrun"/>
        </w:rPr>
        <w:t>even</w:t>
      </w:r>
      <w:r w:rsidR="00AE467B">
        <w:rPr>
          <w:rStyle w:val="normaltextrun"/>
        </w:rPr>
        <w:t xml:space="preserve"> slightly </w:t>
      </w:r>
      <w:r w:rsidR="00990508">
        <w:rPr>
          <w:rStyle w:val="normaltextrun"/>
        </w:rPr>
        <w:t xml:space="preserve">below </w:t>
      </w:r>
      <w:r w:rsidR="00B9201F">
        <w:rPr>
          <w:rStyle w:val="normaltextrun"/>
        </w:rPr>
        <w:t>countries with lower GDP per capita levels</w:t>
      </w:r>
      <w:r w:rsidR="00E630D5">
        <w:rPr>
          <w:rStyle w:val="normaltextrun"/>
        </w:rPr>
        <w:t>,</w:t>
      </w:r>
      <w:r w:rsidR="00B9201F">
        <w:rPr>
          <w:rStyle w:val="normaltextrun"/>
        </w:rPr>
        <w:t xml:space="preserve"> such as Bangladesh and the Philippines. </w:t>
      </w:r>
    </w:p>
    <w:p w14:paraId="1EBB2D8D" w14:textId="1A2D8035" w:rsidR="00BA4C07" w:rsidRPr="00D070BF" w:rsidRDefault="00BA4C07" w:rsidP="00D070BF">
      <w:pPr>
        <w:pStyle w:val="ListParagraph"/>
        <w:keepNext/>
        <w:tabs>
          <w:tab w:val="left" w:pos="450"/>
        </w:tabs>
        <w:spacing w:before="240" w:after="0"/>
        <w:ind w:left="0"/>
        <w:contextualSpacing w:val="0"/>
        <w:jc w:val="both"/>
        <w:rPr>
          <w:b/>
          <w:color w:val="4472C4" w:themeColor="accent1"/>
          <w:sz w:val="20"/>
          <w:szCs w:val="20"/>
        </w:rPr>
      </w:pPr>
      <w:r w:rsidRPr="00A43C02">
        <w:rPr>
          <w:b/>
          <w:color w:val="4472C4" w:themeColor="accent1"/>
          <w:sz w:val="20"/>
          <w:szCs w:val="20"/>
        </w:rPr>
        <w:t xml:space="preserve">Figure </w:t>
      </w:r>
      <w:r w:rsidR="00793E73" w:rsidRPr="00A43C02">
        <w:rPr>
          <w:b/>
          <w:color w:val="4472C4" w:themeColor="accent1"/>
          <w:sz w:val="20"/>
          <w:szCs w:val="20"/>
        </w:rPr>
        <w:t>4</w:t>
      </w:r>
      <w:r w:rsidRPr="00A43C02">
        <w:rPr>
          <w:b/>
          <w:color w:val="4472C4" w:themeColor="accent1"/>
          <w:sz w:val="20"/>
          <w:szCs w:val="20"/>
        </w:rPr>
        <w:t xml:space="preserve">. </w:t>
      </w:r>
      <w:r w:rsidRPr="00D070BF">
        <w:rPr>
          <w:b/>
          <w:color w:val="4472C4" w:themeColor="accent1"/>
          <w:sz w:val="20"/>
          <w:szCs w:val="20"/>
        </w:rPr>
        <w:t>Capital accumulation has increased in the last few years, but productivity upgrades come from other sources such as structural transformation or improvements in total factor productivity (TFP).</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4643"/>
        <w:gridCol w:w="222"/>
        <w:gridCol w:w="4495"/>
      </w:tblGrid>
      <w:tr w:rsidR="00193D40" w:rsidRPr="003F6C71" w14:paraId="5EA73145" w14:textId="77777777" w:rsidTr="00AA6635">
        <w:trPr>
          <w:jc w:val="center"/>
        </w:trPr>
        <w:tc>
          <w:tcPr>
            <w:tcW w:w="2480" w:type="pct"/>
          </w:tcPr>
          <w:p w14:paraId="0DCF43BB" w14:textId="466B0D6D" w:rsidR="00193D40" w:rsidRPr="00D070BF" w:rsidRDefault="00193D40" w:rsidP="00D070BF">
            <w:pPr>
              <w:keepNext/>
              <w:keepLines/>
              <w:spacing w:before="120"/>
              <w:rPr>
                <w:rFonts w:eastAsiaTheme="majorEastAsia" w:cstheme="minorHAnsi"/>
                <w:color w:val="2F5496" w:themeColor="accent1" w:themeShade="BF"/>
                <w:sz w:val="20"/>
                <w:szCs w:val="20"/>
              </w:rPr>
            </w:pPr>
            <w:r w:rsidRPr="00D070BF">
              <w:rPr>
                <w:rFonts w:eastAsiaTheme="majorEastAsia" w:cstheme="minorHAnsi"/>
                <w:color w:val="2F5496" w:themeColor="accent1" w:themeShade="BF"/>
                <w:sz w:val="20"/>
                <w:szCs w:val="20"/>
              </w:rPr>
              <w:t xml:space="preserve">a. Average physical capital to worker ratio (constant </w:t>
            </w:r>
            <w:r>
              <w:rPr>
                <w:rFonts w:eastAsiaTheme="majorEastAsia" w:cstheme="minorHAnsi"/>
                <w:color w:val="2F5496" w:themeColor="accent1" w:themeShade="BF"/>
                <w:sz w:val="20"/>
                <w:szCs w:val="20"/>
              </w:rPr>
              <w:t>million Vietnamese dong</w:t>
            </w:r>
            <w:r w:rsidRPr="00D070BF">
              <w:rPr>
                <w:rFonts w:eastAsiaTheme="majorEastAsia" w:cstheme="minorHAnsi"/>
                <w:color w:val="2F5496" w:themeColor="accent1" w:themeShade="BF"/>
                <w:sz w:val="20"/>
                <w:szCs w:val="20"/>
              </w:rPr>
              <w:t>)</w:t>
            </w:r>
          </w:p>
        </w:tc>
        <w:tc>
          <w:tcPr>
            <w:tcW w:w="119" w:type="pct"/>
          </w:tcPr>
          <w:p w14:paraId="773FCF34" w14:textId="77777777" w:rsidR="00193D40" w:rsidRPr="00D070BF" w:rsidRDefault="00193D40" w:rsidP="00D070BF">
            <w:pPr>
              <w:keepNext/>
              <w:keepLines/>
              <w:spacing w:before="120"/>
              <w:rPr>
                <w:rFonts w:eastAsiaTheme="majorEastAsia" w:cstheme="minorHAnsi"/>
                <w:color w:val="2F5496" w:themeColor="accent1" w:themeShade="BF"/>
                <w:sz w:val="20"/>
                <w:szCs w:val="20"/>
              </w:rPr>
            </w:pPr>
          </w:p>
        </w:tc>
        <w:tc>
          <w:tcPr>
            <w:tcW w:w="2401" w:type="pct"/>
          </w:tcPr>
          <w:p w14:paraId="636617AD" w14:textId="2DD59EF4" w:rsidR="00193D40" w:rsidRPr="00D070BF" w:rsidRDefault="00193D40" w:rsidP="00D070BF">
            <w:pPr>
              <w:keepNext/>
              <w:keepLines/>
              <w:spacing w:before="120"/>
              <w:rPr>
                <w:rFonts w:eastAsiaTheme="majorEastAsia" w:cstheme="minorHAnsi"/>
                <w:color w:val="2F5496" w:themeColor="accent1" w:themeShade="BF"/>
                <w:sz w:val="20"/>
                <w:szCs w:val="20"/>
              </w:rPr>
            </w:pPr>
            <w:r w:rsidRPr="00D070BF">
              <w:rPr>
                <w:rFonts w:eastAsiaTheme="majorEastAsia" w:cstheme="minorHAnsi"/>
                <w:color w:val="2F5496" w:themeColor="accent1" w:themeShade="BF"/>
                <w:sz w:val="20"/>
                <w:szCs w:val="20"/>
              </w:rPr>
              <w:t xml:space="preserve">b. </w:t>
            </w:r>
            <w:r w:rsidRPr="00CA72BC">
              <w:rPr>
                <w:rFonts w:eastAsiaTheme="majorEastAsia" w:cstheme="minorHAnsi"/>
                <w:color w:val="2F5496" w:themeColor="accent1" w:themeShade="BF"/>
                <w:sz w:val="20"/>
                <w:szCs w:val="20"/>
              </w:rPr>
              <w:t>Contribution of capital accumulation and TFP to aggregate labor productivity growth</w:t>
            </w:r>
          </w:p>
        </w:tc>
      </w:tr>
      <w:tr w:rsidR="00193D40" w:rsidRPr="00013A7E" w14:paraId="73D38E36" w14:textId="77777777" w:rsidTr="00AA6635">
        <w:trPr>
          <w:trHeight w:val="2385"/>
          <w:jc w:val="center"/>
        </w:trPr>
        <w:tc>
          <w:tcPr>
            <w:tcW w:w="2480" w:type="pct"/>
          </w:tcPr>
          <w:p w14:paraId="4F1A13B5" w14:textId="31C35605" w:rsidR="00193D40" w:rsidRPr="00013A7E" w:rsidRDefault="00193D40">
            <w:pPr>
              <w:widowControl w:val="0"/>
              <w:spacing w:before="120"/>
              <w:rPr>
                <w:rFonts w:asciiTheme="majorHAnsi" w:hAnsiTheme="majorHAnsi" w:cstheme="majorBidi"/>
              </w:rPr>
            </w:pPr>
            <w:r>
              <w:rPr>
                <w:rFonts w:asciiTheme="majorHAnsi" w:hAnsiTheme="majorHAnsi" w:cstheme="majorBidi"/>
                <w:noProof/>
              </w:rPr>
              <w:drawing>
                <wp:inline distT="0" distB="0" distL="0" distR="0" wp14:anchorId="072386E2" wp14:editId="3A583F3F">
                  <wp:extent cx="2832100" cy="1860156"/>
                  <wp:effectExtent l="0" t="0" r="635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6784" cy="1863232"/>
                          </a:xfrm>
                          <a:prstGeom prst="rect">
                            <a:avLst/>
                          </a:prstGeom>
                          <a:noFill/>
                        </pic:spPr>
                      </pic:pic>
                    </a:graphicData>
                  </a:graphic>
                </wp:inline>
              </w:drawing>
            </w:r>
          </w:p>
        </w:tc>
        <w:tc>
          <w:tcPr>
            <w:tcW w:w="119" w:type="pct"/>
          </w:tcPr>
          <w:p w14:paraId="7AC71CBB" w14:textId="77777777" w:rsidR="00193D40" w:rsidRDefault="00193D40" w:rsidP="15E5BA73">
            <w:pPr>
              <w:widowControl w:val="0"/>
              <w:spacing w:before="120"/>
              <w:rPr>
                <w:noProof/>
              </w:rPr>
            </w:pPr>
          </w:p>
        </w:tc>
        <w:tc>
          <w:tcPr>
            <w:tcW w:w="2401" w:type="pct"/>
          </w:tcPr>
          <w:p w14:paraId="3672F952" w14:textId="669EF26D" w:rsidR="00193D40" w:rsidRDefault="00193D40" w:rsidP="15E5BA73">
            <w:pPr>
              <w:widowControl w:val="0"/>
              <w:spacing w:before="120"/>
              <w:rPr>
                <w:rFonts w:asciiTheme="majorHAnsi" w:hAnsiTheme="majorHAnsi" w:cstheme="majorBidi"/>
                <w:noProof/>
              </w:rPr>
            </w:pPr>
            <w:r>
              <w:rPr>
                <w:noProof/>
              </w:rPr>
              <w:drawing>
                <wp:inline distT="0" distB="0" distL="0" distR="0" wp14:anchorId="06CF294F" wp14:editId="04AC49B6">
                  <wp:extent cx="2733675" cy="1859915"/>
                  <wp:effectExtent l="0" t="0" r="9525" b="6985"/>
                  <wp:docPr id="61" name="Chart 61">
                    <a:extLst xmlns:a="http://schemas.openxmlformats.org/drawingml/2006/main">
                      <a:ext uri="{FF2B5EF4-FFF2-40B4-BE49-F238E27FC236}">
                        <a16:creationId xmlns:a16="http://schemas.microsoft.com/office/drawing/2014/main" id="{AEDF3BA3-3E59-1348-5E23-9A755CD2C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193D40" w:rsidRPr="00E52588" w14:paraId="4E8A7A56" w14:textId="77777777" w:rsidTr="00AA6635">
        <w:trPr>
          <w:jc w:val="center"/>
        </w:trPr>
        <w:tc>
          <w:tcPr>
            <w:tcW w:w="2480" w:type="pct"/>
          </w:tcPr>
          <w:p w14:paraId="16039C24" w14:textId="4FBAC063" w:rsidR="00193D40" w:rsidRPr="00D070BF" w:rsidRDefault="00193D40">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D070BF">
              <w:rPr>
                <w:rStyle w:val="normaltextrun"/>
                <w:rFonts w:asciiTheme="majorHAnsi" w:eastAsia="Arial" w:hAnsiTheme="majorHAnsi" w:cstheme="majorHAnsi"/>
                <w:i/>
                <w:color w:val="7F7F7F" w:themeColor="text1" w:themeTint="80"/>
                <w:sz w:val="18"/>
                <w:szCs w:val="18"/>
              </w:rPr>
              <w:t>Source: Economic Census – General Statistics Office (GSO) using the I</w:t>
            </w:r>
            <w:r>
              <w:rPr>
                <w:rStyle w:val="normaltextrun"/>
                <w:rFonts w:asciiTheme="majorHAnsi" w:eastAsia="Arial" w:hAnsiTheme="majorHAnsi" w:cstheme="majorHAnsi"/>
                <w:i/>
                <w:color w:val="7F7F7F" w:themeColor="text1" w:themeTint="80"/>
                <w:sz w:val="18"/>
                <w:szCs w:val="18"/>
              </w:rPr>
              <w:t xml:space="preserve">CA </w:t>
            </w:r>
            <w:r w:rsidRPr="00D070BF">
              <w:rPr>
                <w:rStyle w:val="normaltextrun"/>
                <w:rFonts w:asciiTheme="majorHAnsi" w:eastAsia="Arial" w:hAnsiTheme="majorHAnsi" w:cstheme="majorHAnsi"/>
                <w:i/>
                <w:color w:val="7F7F7F" w:themeColor="text1" w:themeTint="80"/>
                <w:sz w:val="18"/>
                <w:szCs w:val="18"/>
              </w:rPr>
              <w:t xml:space="preserve">2.0 Tool. </w:t>
            </w:r>
          </w:p>
          <w:p w14:paraId="2389C18F" w14:textId="5F6C38B5" w:rsidR="00193D40" w:rsidRPr="00D070BF" w:rsidRDefault="00193D40">
            <w:pPr>
              <w:pStyle w:val="ListParagraph"/>
              <w:tabs>
                <w:tab w:val="left" w:pos="450"/>
              </w:tabs>
              <w:ind w:left="0"/>
              <w:contextualSpacing w:val="0"/>
              <w:jc w:val="both"/>
              <w:rPr>
                <w:rFonts w:asciiTheme="majorHAnsi" w:eastAsia="Arial" w:hAnsiTheme="majorHAnsi" w:cstheme="majorHAnsi"/>
                <w:i/>
                <w:color w:val="7F7F7F" w:themeColor="text1" w:themeTint="80"/>
                <w:sz w:val="18"/>
                <w:szCs w:val="18"/>
              </w:rPr>
            </w:pPr>
            <w:r w:rsidRPr="00D070BF">
              <w:rPr>
                <w:rStyle w:val="normaltextrun"/>
                <w:rFonts w:asciiTheme="majorHAnsi" w:eastAsia="Arial" w:hAnsiTheme="majorHAnsi" w:cstheme="majorHAnsi"/>
                <w:i/>
                <w:color w:val="7F7F7F" w:themeColor="text1" w:themeTint="80"/>
                <w:sz w:val="18"/>
                <w:szCs w:val="18"/>
              </w:rPr>
              <w:t>Note:</w:t>
            </w:r>
            <w:r>
              <w:rPr>
                <w:rStyle w:val="normaltextrun"/>
                <w:rFonts w:asciiTheme="majorHAnsi" w:eastAsia="Arial" w:hAnsiTheme="majorHAnsi" w:cstheme="majorHAnsi"/>
                <w:i/>
                <w:color w:val="7F7F7F" w:themeColor="text1" w:themeTint="80"/>
                <w:sz w:val="18"/>
                <w:szCs w:val="18"/>
              </w:rPr>
              <w:t xml:space="preserve"> weighted average by firm’s number of employees.</w:t>
            </w:r>
          </w:p>
        </w:tc>
        <w:tc>
          <w:tcPr>
            <w:tcW w:w="119" w:type="pct"/>
          </w:tcPr>
          <w:p w14:paraId="5E4DFB27" w14:textId="77777777" w:rsidR="00193D40" w:rsidRPr="00D070BF" w:rsidRDefault="00193D40">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p>
        </w:tc>
        <w:tc>
          <w:tcPr>
            <w:tcW w:w="2401" w:type="pct"/>
          </w:tcPr>
          <w:p w14:paraId="76D3526E" w14:textId="1063C374" w:rsidR="00193D40" w:rsidRPr="00D070BF" w:rsidRDefault="00193D40">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D070BF">
              <w:rPr>
                <w:rStyle w:val="normaltextrun"/>
                <w:rFonts w:asciiTheme="majorHAnsi" w:eastAsia="Arial" w:hAnsiTheme="majorHAnsi" w:cstheme="majorHAnsi"/>
                <w:i/>
                <w:color w:val="7F7F7F" w:themeColor="text1" w:themeTint="80"/>
                <w:sz w:val="18"/>
                <w:szCs w:val="18"/>
              </w:rPr>
              <w:t>Source: Economic Census – General Statistics Office (GSO) using the I</w:t>
            </w:r>
            <w:r>
              <w:rPr>
                <w:rStyle w:val="normaltextrun"/>
                <w:rFonts w:asciiTheme="majorHAnsi" w:eastAsia="Arial" w:hAnsiTheme="majorHAnsi" w:cstheme="majorHAnsi"/>
                <w:i/>
                <w:color w:val="7F7F7F" w:themeColor="text1" w:themeTint="80"/>
                <w:sz w:val="18"/>
                <w:szCs w:val="18"/>
              </w:rPr>
              <w:t>CA</w:t>
            </w:r>
            <w:r w:rsidRPr="00D070BF">
              <w:rPr>
                <w:rStyle w:val="normaltextrun"/>
                <w:rFonts w:asciiTheme="majorHAnsi" w:eastAsia="Arial" w:hAnsiTheme="majorHAnsi" w:cstheme="majorHAnsi"/>
                <w:i/>
                <w:color w:val="7F7F7F" w:themeColor="text1" w:themeTint="80"/>
                <w:sz w:val="18"/>
                <w:szCs w:val="18"/>
              </w:rPr>
              <w:t xml:space="preserve"> 2.0 Tool. </w:t>
            </w:r>
          </w:p>
          <w:p w14:paraId="240E2ABE" w14:textId="77777777" w:rsidR="00193D40" w:rsidRPr="00D070BF" w:rsidRDefault="00193D40">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D070BF">
              <w:rPr>
                <w:rStyle w:val="normaltextrun"/>
                <w:rFonts w:asciiTheme="majorHAnsi" w:eastAsia="Arial" w:hAnsiTheme="majorHAnsi" w:cstheme="majorHAnsi"/>
                <w:i/>
                <w:color w:val="7F7F7F" w:themeColor="text1" w:themeTint="80"/>
                <w:sz w:val="18"/>
                <w:szCs w:val="18"/>
              </w:rPr>
              <w:t>Note: LP stands for labor productivity.</w:t>
            </w:r>
          </w:p>
        </w:tc>
      </w:tr>
    </w:tbl>
    <w:tbl>
      <w:tblPr>
        <w:tblW w:w="9360" w:type="dxa"/>
        <w:tblCellMar>
          <w:left w:w="0" w:type="dxa"/>
          <w:right w:w="0" w:type="dxa"/>
        </w:tblCellMar>
        <w:tblLook w:val="04A0" w:firstRow="1" w:lastRow="0" w:firstColumn="1" w:lastColumn="0" w:noHBand="0" w:noVBand="1"/>
        <w:tblCaption w:val=""/>
        <w:tblDescription w:val=""/>
      </w:tblPr>
      <w:tblGrid>
        <w:gridCol w:w="6222"/>
        <w:gridCol w:w="3138"/>
      </w:tblGrid>
      <w:tr w:rsidR="00506249" w:rsidRPr="000D3942" w14:paraId="04C0BF2B" w14:textId="77777777" w:rsidTr="00AA6635">
        <w:trPr>
          <w:trHeight w:val="370"/>
        </w:trPr>
        <w:tc>
          <w:tcPr>
            <w:tcW w:w="4656" w:type="dxa"/>
            <w:tcMar>
              <w:top w:w="40" w:type="dxa"/>
              <w:left w:w="60" w:type="dxa"/>
              <w:bottom w:w="40" w:type="dxa"/>
              <w:right w:w="60" w:type="dxa"/>
            </w:tcMar>
            <w:hideMark/>
          </w:tcPr>
          <w:p w14:paraId="26A17250" w14:textId="736139EE" w:rsidR="00506249" w:rsidRDefault="00D64E26" w:rsidP="00D070BF">
            <w:pPr>
              <w:keepNext/>
              <w:keepLines/>
              <w:spacing w:before="120" w:after="0" w:line="240" w:lineRule="auto"/>
              <w:jc w:val="both"/>
              <w:outlineLvl w:val="4"/>
              <w:rPr>
                <w:rFonts w:eastAsiaTheme="majorEastAsia" w:cstheme="minorHAnsi"/>
                <w:color w:val="2F5496" w:themeColor="accent1" w:themeShade="BF"/>
                <w:sz w:val="20"/>
                <w:szCs w:val="20"/>
              </w:rPr>
            </w:pPr>
            <w:r>
              <w:rPr>
                <w:rFonts w:eastAsiaTheme="majorEastAsia" w:cstheme="minorHAnsi"/>
                <w:color w:val="2F5496" w:themeColor="accent1" w:themeShade="BF"/>
                <w:sz w:val="20"/>
                <w:szCs w:val="20"/>
              </w:rPr>
              <w:lastRenderedPageBreak/>
              <w:t>c</w:t>
            </w:r>
            <w:r w:rsidR="00506249" w:rsidRPr="00692BFC">
              <w:rPr>
                <w:rFonts w:eastAsiaTheme="majorEastAsia" w:cstheme="minorHAnsi"/>
                <w:color w:val="2F5496" w:themeColor="accent1" w:themeShade="BF"/>
                <w:sz w:val="20"/>
                <w:szCs w:val="20"/>
              </w:rPr>
              <w:t xml:space="preserve">. Average </w:t>
            </w:r>
            <w:r w:rsidR="002B2DB0">
              <w:rPr>
                <w:rFonts w:eastAsiaTheme="majorEastAsia" w:cstheme="minorHAnsi"/>
                <w:color w:val="2F5496" w:themeColor="accent1" w:themeShade="BF"/>
                <w:sz w:val="20"/>
                <w:szCs w:val="20"/>
              </w:rPr>
              <w:t xml:space="preserve">private capital stock </w:t>
            </w:r>
            <w:r w:rsidR="009071CD">
              <w:rPr>
                <w:rFonts w:eastAsiaTheme="majorEastAsia" w:cstheme="minorHAnsi"/>
                <w:color w:val="2F5496" w:themeColor="accent1" w:themeShade="BF"/>
                <w:sz w:val="20"/>
                <w:szCs w:val="20"/>
              </w:rPr>
              <w:t>and GDP per capita – 2000-2019</w:t>
            </w:r>
          </w:p>
          <w:p w14:paraId="7D2DEC97" w14:textId="250386F3" w:rsidR="004D1676" w:rsidRPr="00692BFC" w:rsidRDefault="002B2DB0" w:rsidP="00D070BF">
            <w:pPr>
              <w:keepNext/>
              <w:keepLines/>
              <w:spacing w:before="120" w:after="0" w:line="240" w:lineRule="auto"/>
              <w:jc w:val="both"/>
              <w:outlineLvl w:val="4"/>
              <w:rPr>
                <w:rFonts w:eastAsiaTheme="majorEastAsia" w:cstheme="minorHAnsi"/>
                <w:color w:val="2F5496" w:themeColor="accent1" w:themeShade="BF"/>
                <w:sz w:val="20"/>
                <w:szCs w:val="20"/>
              </w:rPr>
            </w:pPr>
            <w:r w:rsidRPr="002B2DB0">
              <w:rPr>
                <w:rFonts w:eastAsiaTheme="majorEastAsia" w:cstheme="minorHAnsi"/>
                <w:noProof/>
                <w:color w:val="2F5496" w:themeColor="accent1" w:themeShade="BF"/>
                <w:sz w:val="20"/>
                <w:szCs w:val="20"/>
              </w:rPr>
              <w:drawing>
                <wp:inline distT="0" distB="0" distL="0" distR="0" wp14:anchorId="1B89C19F" wp14:editId="14D4C2AD">
                  <wp:extent cx="3875183" cy="24654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339" cy="2491606"/>
                          </a:xfrm>
                          <a:prstGeom prst="rect">
                            <a:avLst/>
                          </a:prstGeom>
                          <a:noFill/>
                          <a:ln>
                            <a:noFill/>
                          </a:ln>
                        </pic:spPr>
                      </pic:pic>
                    </a:graphicData>
                  </a:graphic>
                </wp:inline>
              </w:drawing>
            </w:r>
          </w:p>
        </w:tc>
        <w:tc>
          <w:tcPr>
            <w:tcW w:w="4704" w:type="dxa"/>
            <w:tcMar>
              <w:top w:w="40" w:type="dxa"/>
              <w:left w:w="60" w:type="dxa"/>
              <w:bottom w:w="40" w:type="dxa"/>
              <w:right w:w="60" w:type="dxa"/>
            </w:tcMar>
            <w:hideMark/>
          </w:tcPr>
          <w:p w14:paraId="65DA5A22" w14:textId="7C872200" w:rsidR="00506249" w:rsidRPr="00692BFC" w:rsidRDefault="00506249" w:rsidP="00D070BF">
            <w:pPr>
              <w:keepNext/>
              <w:keepLines/>
              <w:spacing w:before="120" w:after="0" w:line="240" w:lineRule="auto"/>
              <w:jc w:val="both"/>
              <w:outlineLvl w:val="4"/>
              <w:rPr>
                <w:rFonts w:eastAsiaTheme="majorEastAsia" w:cstheme="minorHAnsi"/>
                <w:color w:val="2F5496" w:themeColor="accent1" w:themeShade="BF"/>
                <w:sz w:val="20"/>
                <w:szCs w:val="20"/>
              </w:rPr>
            </w:pPr>
          </w:p>
        </w:tc>
      </w:tr>
      <w:tr w:rsidR="00506249" w:rsidRPr="00DC0127" w14:paraId="04AA7295" w14:textId="77777777" w:rsidTr="00AA6635">
        <w:trPr>
          <w:trHeight w:val="169"/>
        </w:trPr>
        <w:tc>
          <w:tcPr>
            <w:tcW w:w="9360" w:type="dxa"/>
            <w:gridSpan w:val="2"/>
            <w:tcMar>
              <w:top w:w="40" w:type="dxa"/>
              <w:left w:w="60" w:type="dxa"/>
              <w:bottom w:w="40" w:type="dxa"/>
              <w:right w:w="60" w:type="dxa"/>
            </w:tcMar>
            <w:hideMark/>
          </w:tcPr>
          <w:p w14:paraId="0C7BCE6A" w14:textId="4A2483C3" w:rsidR="00027ACF" w:rsidRPr="00DC0127" w:rsidRDefault="00506249">
            <w:pPr>
              <w:spacing w:after="0" w:line="240" w:lineRule="auto"/>
              <w:jc w:val="both"/>
              <w:rPr>
                <w:rFonts w:cstheme="minorHAnsi"/>
                <w:sz w:val="18"/>
                <w:szCs w:val="18"/>
              </w:rPr>
            </w:pPr>
            <w:r w:rsidRPr="00D070BF">
              <w:rPr>
                <w:rStyle w:val="normaltextrun"/>
                <w:rFonts w:asciiTheme="majorHAnsi" w:eastAsia="Arial" w:hAnsiTheme="majorHAnsi" w:cstheme="majorHAnsi"/>
                <w:i/>
                <w:color w:val="7F7F7F" w:themeColor="text1" w:themeTint="80"/>
              </w:rPr>
              <w:t xml:space="preserve">Source: </w:t>
            </w:r>
            <w:r w:rsidR="00A1455E" w:rsidRPr="00A1455E">
              <w:rPr>
                <w:rStyle w:val="normaltextrun"/>
                <w:rFonts w:asciiTheme="majorHAnsi" w:eastAsia="Arial" w:hAnsiTheme="majorHAnsi" w:cstheme="majorHAnsi"/>
                <w:i/>
                <w:color w:val="7F7F7F" w:themeColor="text1" w:themeTint="80"/>
              </w:rPr>
              <w:t>IMF Investment and Capital Stock Dataset</w:t>
            </w:r>
            <w:r w:rsidR="00A1455E">
              <w:rPr>
                <w:rStyle w:val="normaltextrun"/>
                <w:rFonts w:asciiTheme="majorHAnsi" w:eastAsia="Arial" w:hAnsiTheme="majorHAnsi" w:cstheme="majorHAnsi"/>
                <w:i/>
                <w:color w:val="7F7F7F" w:themeColor="text1" w:themeTint="80"/>
              </w:rPr>
              <w:t xml:space="preserve"> and </w:t>
            </w:r>
            <w:r w:rsidR="00BB71DB" w:rsidRPr="00BB71DB">
              <w:rPr>
                <w:rStyle w:val="normaltextrun"/>
                <w:rFonts w:asciiTheme="majorHAnsi" w:eastAsia="Arial" w:hAnsiTheme="majorHAnsi" w:cstheme="majorHAnsi"/>
                <w:i/>
                <w:color w:val="7F7F7F" w:themeColor="text1" w:themeTint="80"/>
              </w:rPr>
              <w:t>WB World Development Indicators (WDI</w:t>
            </w:r>
            <w:r w:rsidR="00BB71DB">
              <w:rPr>
                <w:rStyle w:val="normaltextrun"/>
                <w:rFonts w:asciiTheme="majorHAnsi" w:eastAsia="Arial" w:hAnsiTheme="majorHAnsi" w:cstheme="majorHAnsi"/>
                <w:i/>
                <w:color w:val="7F7F7F" w:themeColor="text1" w:themeTint="80"/>
              </w:rPr>
              <w:t>).</w:t>
            </w:r>
            <w:r w:rsidR="00BB71DB" w:rsidRPr="00BB71DB" w:rsidDel="00A1455E">
              <w:rPr>
                <w:rStyle w:val="normaltextrun"/>
                <w:rFonts w:asciiTheme="majorHAnsi" w:eastAsia="Arial" w:hAnsiTheme="majorHAnsi" w:cstheme="majorHAnsi"/>
                <w:i/>
                <w:color w:val="7F7F7F" w:themeColor="text1" w:themeTint="80"/>
              </w:rPr>
              <w:t xml:space="preserve"> </w:t>
            </w:r>
            <w:r w:rsidR="00027ACF" w:rsidRPr="00D070BF">
              <w:rPr>
                <w:rStyle w:val="normaltextrun"/>
                <w:rFonts w:asciiTheme="majorHAnsi" w:eastAsia="Arial" w:hAnsiTheme="majorHAnsi" w:cstheme="majorHAnsi"/>
                <w:i/>
                <w:color w:val="7F7F7F" w:themeColor="text1" w:themeTint="80"/>
              </w:rPr>
              <w:t xml:space="preserve">Note: </w:t>
            </w:r>
            <w:r w:rsidR="00A95F17" w:rsidRPr="00A95F17">
              <w:rPr>
                <w:rStyle w:val="normaltextrun"/>
                <w:rFonts w:asciiTheme="majorHAnsi" w:eastAsia="Arial" w:hAnsiTheme="majorHAnsi" w:cstheme="majorHAnsi"/>
                <w:i/>
                <w:color w:val="7F7F7F" w:themeColor="text1" w:themeTint="80"/>
              </w:rPr>
              <w:t xml:space="preserve">Raw data are in constant </w:t>
            </w:r>
            <w:r w:rsidR="00A95F17">
              <w:rPr>
                <w:rStyle w:val="normaltextrun"/>
                <w:rFonts w:asciiTheme="majorHAnsi" w:eastAsia="Arial" w:hAnsiTheme="majorHAnsi" w:cstheme="majorHAnsi"/>
                <w:i/>
                <w:color w:val="7F7F7F" w:themeColor="text1" w:themeTint="80"/>
              </w:rPr>
              <w:t>2017 international USD</w:t>
            </w:r>
            <w:r w:rsidR="00A95F17" w:rsidRPr="00A95F17">
              <w:rPr>
                <w:rStyle w:val="normaltextrun"/>
                <w:rFonts w:asciiTheme="majorHAnsi" w:eastAsia="Arial" w:hAnsiTheme="majorHAnsi" w:cstheme="majorHAnsi"/>
                <w:i/>
                <w:color w:val="7F7F7F" w:themeColor="text1" w:themeTint="80"/>
              </w:rPr>
              <w:t xml:space="preserve"> prices. Aspirational countries are green. Structural countries are blue. In the </w:t>
            </w:r>
            <w:r w:rsidR="00D57571">
              <w:rPr>
                <w:rStyle w:val="normaltextrun"/>
                <w:rFonts w:asciiTheme="majorHAnsi" w:eastAsia="Arial" w:hAnsiTheme="majorHAnsi" w:cstheme="majorHAnsi"/>
                <w:i/>
                <w:color w:val="7F7F7F" w:themeColor="text1" w:themeTint="80"/>
              </w:rPr>
              <w:t xml:space="preserve">IMF </w:t>
            </w:r>
            <w:r w:rsidR="00A95F17" w:rsidRPr="00A95F17">
              <w:rPr>
                <w:rStyle w:val="normaltextrun"/>
                <w:rFonts w:asciiTheme="majorHAnsi" w:eastAsia="Arial" w:hAnsiTheme="majorHAnsi" w:cstheme="majorHAnsi"/>
                <w:i/>
                <w:color w:val="7F7F7F" w:themeColor="text1" w:themeTint="80"/>
              </w:rPr>
              <w:t xml:space="preserve">database, 2019 is the latest available year with information on </w:t>
            </w:r>
            <w:r w:rsidR="00D57571">
              <w:rPr>
                <w:rStyle w:val="normaltextrun"/>
                <w:rFonts w:asciiTheme="majorHAnsi" w:eastAsia="Arial" w:hAnsiTheme="majorHAnsi" w:cstheme="majorHAnsi"/>
                <w:i/>
                <w:color w:val="7F7F7F" w:themeColor="text1" w:themeTint="80"/>
              </w:rPr>
              <w:t>private capital stock</w:t>
            </w:r>
            <w:r w:rsidR="00A95F17" w:rsidRPr="00A95F17">
              <w:rPr>
                <w:rStyle w:val="normaltextrun"/>
                <w:rFonts w:asciiTheme="majorHAnsi" w:eastAsia="Arial" w:hAnsiTheme="majorHAnsi" w:cstheme="majorHAnsi"/>
                <w:i/>
                <w:color w:val="7F7F7F" w:themeColor="text1" w:themeTint="80"/>
              </w:rPr>
              <w:t>.</w:t>
            </w:r>
          </w:p>
        </w:tc>
      </w:tr>
    </w:tbl>
    <w:p w14:paraId="28445FF9" w14:textId="77777777" w:rsidR="00FF487C" w:rsidRDefault="00FF487C" w:rsidP="00DE2BDF">
      <w:pPr>
        <w:jc w:val="both"/>
        <w:rPr>
          <w:b/>
        </w:rPr>
      </w:pPr>
    </w:p>
    <w:p w14:paraId="0CE85A78" w14:textId="498381A8" w:rsidR="00DE2BDF" w:rsidRDefault="00583E82" w:rsidP="00DE2BDF">
      <w:pPr>
        <w:jc w:val="both"/>
      </w:pPr>
      <w:r w:rsidRPr="00D070BF">
        <w:rPr>
          <w:b/>
        </w:rPr>
        <w:t>Aggregate productivity</w:t>
      </w:r>
      <w:r w:rsidR="00DD7D77" w:rsidRPr="00D070BF">
        <w:rPr>
          <w:b/>
        </w:rPr>
        <w:t xml:space="preserve"> growth in Viet Nam </w:t>
      </w:r>
      <w:r w:rsidRPr="00D070BF">
        <w:rPr>
          <w:b/>
        </w:rPr>
        <w:t xml:space="preserve">is </w:t>
      </w:r>
      <w:r w:rsidR="002465CF">
        <w:rPr>
          <w:b/>
          <w:bCs/>
        </w:rPr>
        <w:t xml:space="preserve">also </w:t>
      </w:r>
      <w:r w:rsidR="00DD7D77" w:rsidRPr="00D070BF">
        <w:rPr>
          <w:b/>
        </w:rPr>
        <w:t>constrained by factor misallocation</w:t>
      </w:r>
      <w:r w:rsidR="00016207">
        <w:rPr>
          <w:b/>
        </w:rPr>
        <w:t xml:space="preserve">. </w:t>
      </w:r>
      <w:r w:rsidR="00016207" w:rsidRPr="00016207">
        <w:rPr>
          <w:bCs/>
        </w:rPr>
        <w:t>This means that</w:t>
      </w:r>
      <w:r w:rsidR="00B64790" w:rsidRPr="00016207">
        <w:rPr>
          <w:bCs/>
        </w:rPr>
        <w:t xml:space="preserve"> more productive firms grow more slowly than </w:t>
      </w:r>
      <w:r w:rsidR="00016207">
        <w:rPr>
          <w:bCs/>
        </w:rPr>
        <w:t xml:space="preserve">the </w:t>
      </w:r>
      <w:r w:rsidR="00B64790" w:rsidRPr="00016207">
        <w:rPr>
          <w:bCs/>
        </w:rPr>
        <w:t>less productive ones</w:t>
      </w:r>
      <w:r w:rsidR="00BD29C2" w:rsidRPr="00016207">
        <w:rPr>
          <w:bCs/>
        </w:rPr>
        <w:t>.</w:t>
      </w:r>
      <w:r w:rsidR="00BD29C2" w:rsidRPr="00D070BF">
        <w:t xml:space="preserve"> </w:t>
      </w:r>
      <w:r w:rsidR="00DE2BDF" w:rsidRPr="00AA6635">
        <w:rPr>
          <w:bCs/>
        </w:rPr>
        <w:t xml:space="preserve">The decomposition analysis </w:t>
      </w:r>
      <w:r w:rsidR="00B64790">
        <w:rPr>
          <w:bCs/>
        </w:rPr>
        <w:t>for</w:t>
      </w:r>
      <w:r w:rsidR="00DE2BDF" w:rsidRPr="00AA6635">
        <w:rPr>
          <w:bCs/>
        </w:rPr>
        <w:t xml:space="preserve"> Viet Nam shows that total factor productivity in the country has grown due to firms</w:t>
      </w:r>
      <w:r w:rsidR="00821851">
        <w:rPr>
          <w:bCs/>
        </w:rPr>
        <w:t>’ upgrading investments</w:t>
      </w:r>
      <w:r w:rsidR="00DE2BDF" w:rsidRPr="4E68FC03">
        <w:rPr>
          <w:b/>
          <w:bCs/>
        </w:rPr>
        <w:t>.</w:t>
      </w:r>
      <w:r w:rsidR="0031795B">
        <w:rPr>
          <w:b/>
          <w:bCs/>
        </w:rPr>
        <w:t xml:space="preserve"> </w:t>
      </w:r>
      <w:r w:rsidR="00B55F97">
        <w:t xml:space="preserve">Figure </w:t>
      </w:r>
      <w:r w:rsidR="0074368D">
        <w:t xml:space="preserve">5 shows that </w:t>
      </w:r>
      <w:r w:rsidR="005240D3">
        <w:t>misallocation of resources (b</w:t>
      </w:r>
      <w:r w:rsidR="009344C1">
        <w:t>etween growth)</w:t>
      </w:r>
      <w:r w:rsidR="00B86D82">
        <w:t xml:space="preserve"> is contributing negatively to the TFP growth </w:t>
      </w:r>
      <w:r w:rsidR="007367D5">
        <w:t xml:space="preserve">while entry of </w:t>
      </w:r>
      <w:r w:rsidR="00454D5B">
        <w:t xml:space="preserve">new </w:t>
      </w:r>
      <w:r w:rsidR="007367D5">
        <w:t>firms and additional investment in existing firm (</w:t>
      </w:r>
      <w:r w:rsidR="00454D5B">
        <w:t>wi</w:t>
      </w:r>
      <w:r w:rsidR="009344C1">
        <w:t xml:space="preserve">thin </w:t>
      </w:r>
      <w:r w:rsidR="007367D5">
        <w:t xml:space="preserve">growth) </w:t>
      </w:r>
      <w:r w:rsidR="000518DA">
        <w:t>are boosting TFP growth</w:t>
      </w:r>
      <w:r w:rsidR="00DE2BDF" w:rsidRPr="00D070BF">
        <w:t>.</w:t>
      </w:r>
      <w:r w:rsidR="00DE2BDF">
        <w:rPr>
          <w:rStyle w:val="FootnoteReference"/>
        </w:rPr>
        <w:footnoteReference w:id="23"/>
      </w:r>
    </w:p>
    <w:p w14:paraId="48E3535B" w14:textId="2CD88A8C" w:rsidR="00DE2BDF" w:rsidRPr="00DD7D77" w:rsidRDefault="00DE2BDF" w:rsidP="00925C0B">
      <w:pPr>
        <w:keepNext/>
        <w:spacing w:before="240"/>
        <w:jc w:val="both"/>
        <w:rPr>
          <w:rFonts w:ascii="Segoe UI" w:hAnsi="Segoe UI" w:cs="Segoe UI"/>
          <w:b/>
          <w:bCs/>
          <w:sz w:val="18"/>
          <w:szCs w:val="18"/>
        </w:rPr>
      </w:pPr>
      <w:r w:rsidRPr="00D070BF">
        <w:rPr>
          <w:b/>
          <w:color w:val="4472C4" w:themeColor="accent1"/>
          <w:sz w:val="20"/>
          <w:szCs w:val="20"/>
        </w:rPr>
        <w:lastRenderedPageBreak/>
        <w:t xml:space="preserve">Figure 5. In both manufacturing and services sectors, factor misallocation (i.e., growth of </w:t>
      </w:r>
      <w:r>
        <w:rPr>
          <w:b/>
          <w:color w:val="4472C4" w:themeColor="accent1"/>
          <w:sz w:val="20"/>
          <w:szCs w:val="20"/>
        </w:rPr>
        <w:t>less</w:t>
      </w:r>
      <w:r w:rsidRPr="00D070BF">
        <w:rPr>
          <w:b/>
          <w:color w:val="4472C4" w:themeColor="accent1"/>
          <w:sz w:val="20"/>
          <w:szCs w:val="20"/>
        </w:rPr>
        <w:t xml:space="preserve"> productive firms) have constrained productivity growth. </w:t>
      </w:r>
      <w:r w:rsidR="00C96197">
        <w:rPr>
          <w:b/>
          <w:color w:val="4472C4" w:themeColor="accent1"/>
          <w:sz w:val="20"/>
          <w:szCs w:val="20"/>
        </w:rPr>
        <w:t>F</w:t>
      </w:r>
      <w:r w:rsidRPr="00D070BF">
        <w:rPr>
          <w:b/>
          <w:color w:val="4472C4" w:themeColor="accent1"/>
          <w:sz w:val="20"/>
          <w:szCs w:val="20"/>
        </w:rPr>
        <w:t xml:space="preserve">irm </w:t>
      </w:r>
      <w:r w:rsidR="00C96197">
        <w:rPr>
          <w:b/>
          <w:color w:val="4472C4" w:themeColor="accent1"/>
          <w:sz w:val="20"/>
          <w:szCs w:val="20"/>
        </w:rPr>
        <w:t xml:space="preserve">entry </w:t>
      </w:r>
      <w:r w:rsidRPr="00D070BF">
        <w:rPr>
          <w:b/>
          <w:color w:val="4472C4" w:themeColor="accent1"/>
          <w:sz w:val="20"/>
          <w:szCs w:val="20"/>
        </w:rPr>
        <w:t>has played a secondary role in boosting productivity growth.</w:t>
      </w:r>
      <w:r w:rsidRPr="00DD7D77">
        <w:rPr>
          <w:rFonts w:ascii="Segoe UI" w:hAnsi="Segoe UI" w:cs="Segoe UI"/>
          <w:i/>
          <w:iCs/>
          <w:sz w:val="18"/>
          <w:szCs w:val="18"/>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223"/>
        <w:gridCol w:w="4566"/>
      </w:tblGrid>
      <w:tr w:rsidR="00FB7CB6" w:rsidRPr="00DD7D77" w14:paraId="081CB1B6" w14:textId="77777777" w:rsidTr="009D3BC5">
        <w:trPr>
          <w:jc w:val="center"/>
        </w:trPr>
        <w:tc>
          <w:tcPr>
            <w:tcW w:w="2442" w:type="pct"/>
          </w:tcPr>
          <w:p w14:paraId="5401B8E0" w14:textId="77777777" w:rsidR="00DE2BDF" w:rsidRPr="00D070BF" w:rsidRDefault="00DE2BDF" w:rsidP="00925C0B">
            <w:pPr>
              <w:keepNext/>
              <w:spacing w:after="160" w:line="259" w:lineRule="auto"/>
              <w:jc w:val="both"/>
              <w:rPr>
                <w:rFonts w:eastAsiaTheme="majorEastAsia" w:cstheme="minorHAnsi"/>
                <w:color w:val="2F5496" w:themeColor="accent1" w:themeShade="BF"/>
                <w:sz w:val="20"/>
                <w:szCs w:val="20"/>
              </w:rPr>
            </w:pPr>
            <w:r w:rsidRPr="00D070BF">
              <w:rPr>
                <w:rFonts w:eastAsiaTheme="majorEastAsia" w:cstheme="minorHAnsi"/>
                <w:color w:val="2F5496" w:themeColor="accent1" w:themeShade="BF"/>
                <w:sz w:val="20"/>
                <w:szCs w:val="20"/>
              </w:rPr>
              <w:t xml:space="preserve">a. Decomposition of aggregate productivity growth (cumulative) – Manufacturing </w:t>
            </w:r>
          </w:p>
        </w:tc>
        <w:tc>
          <w:tcPr>
            <w:tcW w:w="119" w:type="pct"/>
          </w:tcPr>
          <w:p w14:paraId="611E5C03" w14:textId="77777777" w:rsidR="00DE2BDF" w:rsidRPr="00D070BF" w:rsidRDefault="00DE2BDF" w:rsidP="00925C0B">
            <w:pPr>
              <w:keepNext/>
              <w:spacing w:after="160" w:line="259" w:lineRule="auto"/>
              <w:jc w:val="both"/>
              <w:rPr>
                <w:rFonts w:eastAsiaTheme="majorEastAsia" w:cstheme="minorHAnsi"/>
                <w:color w:val="2F5496" w:themeColor="accent1" w:themeShade="BF"/>
                <w:sz w:val="20"/>
                <w:szCs w:val="20"/>
              </w:rPr>
            </w:pPr>
          </w:p>
        </w:tc>
        <w:tc>
          <w:tcPr>
            <w:tcW w:w="2439" w:type="pct"/>
          </w:tcPr>
          <w:p w14:paraId="64BCDBD8" w14:textId="77777777" w:rsidR="00DE2BDF" w:rsidRPr="00D070BF" w:rsidRDefault="00DE2BDF" w:rsidP="00925C0B">
            <w:pPr>
              <w:keepNext/>
              <w:jc w:val="both"/>
              <w:rPr>
                <w:rFonts w:eastAsiaTheme="majorEastAsia" w:cstheme="minorHAnsi"/>
                <w:color w:val="2F5496" w:themeColor="accent1" w:themeShade="BF"/>
                <w:sz w:val="20"/>
                <w:szCs w:val="20"/>
              </w:rPr>
            </w:pPr>
            <w:r w:rsidRPr="00D070BF">
              <w:rPr>
                <w:rFonts w:eastAsiaTheme="majorEastAsia" w:cstheme="minorHAnsi"/>
                <w:color w:val="2F5496" w:themeColor="accent1" w:themeShade="BF"/>
                <w:sz w:val="20"/>
                <w:szCs w:val="20"/>
              </w:rPr>
              <w:t xml:space="preserve">b. Decomposition of aggregate productivity growth (cumulative) – Services </w:t>
            </w:r>
          </w:p>
        </w:tc>
      </w:tr>
      <w:tr w:rsidR="001A3C9C" w:rsidRPr="00DD7D77" w14:paraId="015FE261" w14:textId="77777777" w:rsidTr="009D3BC5">
        <w:trPr>
          <w:trHeight w:val="2385"/>
          <w:jc w:val="center"/>
        </w:trPr>
        <w:tc>
          <w:tcPr>
            <w:tcW w:w="2442" w:type="pct"/>
          </w:tcPr>
          <w:p w14:paraId="1E4836CB" w14:textId="6F5D9AC0" w:rsidR="00DE2BDF" w:rsidRPr="00DD7D77" w:rsidRDefault="002B7572" w:rsidP="009D3BC5">
            <w:pPr>
              <w:spacing w:after="160" w:line="259" w:lineRule="auto"/>
              <w:jc w:val="both"/>
              <w:rPr>
                <w:rFonts w:ascii="Segoe UI" w:hAnsi="Segoe UI" w:cs="Segoe UI"/>
                <w:sz w:val="18"/>
                <w:szCs w:val="18"/>
              </w:rPr>
            </w:pPr>
            <w:r>
              <w:rPr>
                <w:rFonts w:ascii="Segoe UI" w:hAnsi="Segoe UI" w:cs="Segoe UI"/>
                <w:noProof/>
                <w:sz w:val="18"/>
                <w:szCs w:val="18"/>
              </w:rPr>
              <w:drawing>
                <wp:inline distT="0" distB="0" distL="0" distR="0" wp14:anchorId="39E318A7" wp14:editId="12408CF3">
                  <wp:extent cx="2755900" cy="190182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1901825"/>
                          </a:xfrm>
                          <a:prstGeom prst="rect">
                            <a:avLst/>
                          </a:prstGeom>
                          <a:noFill/>
                        </pic:spPr>
                      </pic:pic>
                    </a:graphicData>
                  </a:graphic>
                </wp:inline>
              </w:drawing>
            </w:r>
          </w:p>
        </w:tc>
        <w:tc>
          <w:tcPr>
            <w:tcW w:w="119" w:type="pct"/>
          </w:tcPr>
          <w:p w14:paraId="536AC6BD" w14:textId="77777777" w:rsidR="00DE2BDF" w:rsidRPr="00DD7D77" w:rsidRDefault="00DE2BDF" w:rsidP="009D3BC5">
            <w:pPr>
              <w:spacing w:after="160" w:line="259" w:lineRule="auto"/>
              <w:jc w:val="both"/>
              <w:rPr>
                <w:rFonts w:ascii="Segoe UI" w:hAnsi="Segoe UI" w:cs="Segoe UI"/>
                <w:sz w:val="18"/>
                <w:szCs w:val="18"/>
              </w:rPr>
            </w:pPr>
          </w:p>
        </w:tc>
        <w:tc>
          <w:tcPr>
            <w:tcW w:w="2439" w:type="pct"/>
          </w:tcPr>
          <w:p w14:paraId="425714F4" w14:textId="7BA42F3C" w:rsidR="00DE2BDF" w:rsidRPr="00DD7D77" w:rsidRDefault="00955472" w:rsidP="009D3BC5">
            <w:pPr>
              <w:spacing w:after="160" w:line="259" w:lineRule="auto"/>
              <w:jc w:val="both"/>
              <w:rPr>
                <w:rFonts w:ascii="Segoe UI" w:hAnsi="Segoe UI" w:cs="Segoe UI"/>
                <w:sz w:val="18"/>
                <w:szCs w:val="18"/>
              </w:rPr>
            </w:pPr>
            <w:r>
              <w:rPr>
                <w:rFonts w:ascii="Segoe UI" w:hAnsi="Segoe UI" w:cs="Segoe UI"/>
                <w:noProof/>
                <w:sz w:val="18"/>
                <w:szCs w:val="18"/>
              </w:rPr>
              <w:drawing>
                <wp:inline distT="0" distB="0" distL="0" distR="0" wp14:anchorId="008D992D" wp14:editId="171D5B8D">
                  <wp:extent cx="2755900" cy="18961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1896110"/>
                          </a:xfrm>
                          <a:prstGeom prst="rect">
                            <a:avLst/>
                          </a:prstGeom>
                          <a:noFill/>
                        </pic:spPr>
                      </pic:pic>
                    </a:graphicData>
                  </a:graphic>
                </wp:inline>
              </w:drawing>
            </w:r>
          </w:p>
        </w:tc>
      </w:tr>
      <w:tr w:rsidR="001A3C9C" w:rsidRPr="00DC0127" w14:paraId="0496AD77" w14:textId="77777777" w:rsidTr="009D3BC5">
        <w:trPr>
          <w:trHeight w:val="450"/>
          <w:jc w:val="center"/>
        </w:trPr>
        <w:tc>
          <w:tcPr>
            <w:tcW w:w="2442" w:type="pct"/>
          </w:tcPr>
          <w:p w14:paraId="1FEE3F78" w14:textId="77777777" w:rsidR="00DE2BDF" w:rsidRPr="00D070BF" w:rsidRDefault="00DE2BDF" w:rsidP="009D3BC5">
            <w:pPr>
              <w:spacing w:after="160" w:line="259" w:lineRule="auto"/>
              <w:jc w:val="both"/>
              <w:rPr>
                <w:rFonts w:asciiTheme="majorHAnsi" w:hAnsiTheme="majorHAnsi" w:cstheme="majorHAnsi"/>
                <w:i/>
                <w:color w:val="7F7F7F" w:themeColor="text1" w:themeTint="80"/>
                <w:sz w:val="18"/>
                <w:szCs w:val="18"/>
              </w:rPr>
            </w:pPr>
            <w:r w:rsidRPr="00D070BF">
              <w:rPr>
                <w:rFonts w:asciiTheme="majorHAnsi" w:hAnsiTheme="majorHAnsi" w:cstheme="majorHAnsi"/>
                <w:i/>
                <w:color w:val="7F7F7F" w:themeColor="text1" w:themeTint="80"/>
                <w:sz w:val="18"/>
                <w:szCs w:val="18"/>
              </w:rPr>
              <w:t xml:space="preserve">Source: Economic Census – General Statistics Office (GSO) using the ICA 2.0 Tool.  </w:t>
            </w:r>
          </w:p>
        </w:tc>
        <w:tc>
          <w:tcPr>
            <w:tcW w:w="119" w:type="pct"/>
          </w:tcPr>
          <w:p w14:paraId="12059119" w14:textId="77777777" w:rsidR="00DE2BDF" w:rsidRPr="00D070BF" w:rsidRDefault="00DE2BDF" w:rsidP="009D3BC5">
            <w:pPr>
              <w:spacing w:after="160" w:line="259" w:lineRule="auto"/>
              <w:jc w:val="both"/>
              <w:rPr>
                <w:rFonts w:asciiTheme="majorHAnsi" w:hAnsiTheme="majorHAnsi" w:cstheme="majorHAnsi"/>
                <w:i/>
                <w:color w:val="7F7F7F" w:themeColor="text1" w:themeTint="80"/>
                <w:sz w:val="18"/>
                <w:szCs w:val="18"/>
              </w:rPr>
            </w:pPr>
          </w:p>
        </w:tc>
        <w:tc>
          <w:tcPr>
            <w:tcW w:w="2439" w:type="pct"/>
          </w:tcPr>
          <w:p w14:paraId="7A9C2FE4" w14:textId="77777777" w:rsidR="00DE2BDF" w:rsidRPr="00D070BF" w:rsidRDefault="00DE2BDF" w:rsidP="009D3BC5">
            <w:pPr>
              <w:spacing w:after="160" w:line="259" w:lineRule="auto"/>
              <w:jc w:val="both"/>
              <w:rPr>
                <w:rFonts w:asciiTheme="majorHAnsi" w:hAnsiTheme="majorHAnsi" w:cstheme="majorHAnsi"/>
                <w:b/>
                <w:i/>
                <w:color w:val="7F7F7F" w:themeColor="text1" w:themeTint="80"/>
                <w:sz w:val="18"/>
                <w:szCs w:val="18"/>
              </w:rPr>
            </w:pPr>
            <w:r w:rsidRPr="00D070BF">
              <w:rPr>
                <w:rFonts w:asciiTheme="majorHAnsi" w:hAnsiTheme="majorHAnsi" w:cstheme="majorHAnsi"/>
                <w:i/>
                <w:color w:val="7F7F7F" w:themeColor="text1" w:themeTint="80"/>
                <w:sz w:val="18"/>
                <w:szCs w:val="18"/>
              </w:rPr>
              <w:t xml:space="preserve">Source: Economic Census – General Statistics Office (GSO) using the ICA 2.0 Tool. </w:t>
            </w:r>
          </w:p>
        </w:tc>
      </w:tr>
      <w:tr w:rsidR="00DE2BDF" w:rsidRPr="00DC0127" w14:paraId="50D401E2" w14:textId="77777777" w:rsidTr="009D3BC5">
        <w:trPr>
          <w:trHeight w:val="450"/>
          <w:jc w:val="center"/>
        </w:trPr>
        <w:tc>
          <w:tcPr>
            <w:tcW w:w="5000" w:type="pct"/>
            <w:gridSpan w:val="3"/>
          </w:tcPr>
          <w:p w14:paraId="1C5D1351" w14:textId="77777777" w:rsidR="00DE2BDF" w:rsidRPr="00B2736A" w:rsidRDefault="00DE2BDF" w:rsidP="009D3BC5">
            <w:pPr>
              <w:jc w:val="both"/>
              <w:rPr>
                <w:rStyle w:val="cf01"/>
                <w:rFonts w:asciiTheme="majorHAnsi" w:hAnsiTheme="majorHAnsi" w:cstheme="majorHAnsi"/>
                <w:i/>
                <w:color w:val="7F7F7F" w:themeColor="text1" w:themeTint="80"/>
              </w:rPr>
            </w:pPr>
            <w:r w:rsidRPr="00B2736A">
              <w:rPr>
                <w:rFonts w:asciiTheme="majorHAnsi" w:hAnsiTheme="majorHAnsi" w:cstheme="majorHAnsi"/>
                <w:i/>
                <w:color w:val="7F7F7F" w:themeColor="text1" w:themeTint="80"/>
                <w:sz w:val="18"/>
                <w:szCs w:val="18"/>
              </w:rPr>
              <w:t>Note: The graphs plot the decomposition of aggregate TFP growth into the contributions of the changes in the unweighted average TFP across incumbent firms (within), the changes in the allocation of employment across incumbent firms with different TFP levels (between), the differences in TFP between incumbents and new entrants (entry) and the difference in TFP between incumbents and exiting firms (exit).</w:t>
            </w:r>
          </w:p>
          <w:p w14:paraId="39BADD99" w14:textId="77777777" w:rsidR="00DE2BDF" w:rsidRPr="00DC0127" w:rsidRDefault="00DE2BDF" w:rsidP="009D3BC5">
            <w:pPr>
              <w:jc w:val="both"/>
              <w:rPr>
                <w:rFonts w:asciiTheme="majorHAnsi" w:hAnsiTheme="majorHAnsi" w:cstheme="majorHAnsi"/>
                <w:i/>
                <w:color w:val="7F7F7F" w:themeColor="text1" w:themeTint="80"/>
                <w:sz w:val="18"/>
                <w:szCs w:val="18"/>
              </w:rPr>
            </w:pPr>
          </w:p>
        </w:tc>
      </w:tr>
    </w:tbl>
    <w:p w14:paraId="5020616A" w14:textId="4507232B" w:rsidR="00DD7D77" w:rsidRDefault="00C07DE9" w:rsidP="00DD7D77">
      <w:pPr>
        <w:jc w:val="both"/>
      </w:pPr>
      <w:r w:rsidRPr="00AA6635">
        <w:rPr>
          <w:b/>
          <w:bCs/>
        </w:rPr>
        <w:t xml:space="preserve">Regulatory reform can </w:t>
      </w:r>
      <w:r w:rsidR="00BC2891" w:rsidRPr="00AA6635">
        <w:rPr>
          <w:b/>
          <w:bCs/>
        </w:rPr>
        <w:t xml:space="preserve">directly promote productivity growth in Viet Nam through </w:t>
      </w:r>
      <w:r w:rsidR="00B16475" w:rsidRPr="00AA6635">
        <w:rPr>
          <w:b/>
          <w:bCs/>
        </w:rPr>
        <w:t>three channels</w:t>
      </w:r>
      <w:r w:rsidR="007E2803">
        <w:rPr>
          <w:b/>
          <w:bCs/>
        </w:rPr>
        <w:t xml:space="preserve"> </w:t>
      </w:r>
      <w:r w:rsidR="007E2803">
        <w:t xml:space="preserve">(Figure </w:t>
      </w:r>
      <w:r w:rsidR="00C83B64">
        <w:t>6</w:t>
      </w:r>
      <w:r w:rsidR="007E2803">
        <w:t>)</w:t>
      </w:r>
      <w:r w:rsidR="00BC2891" w:rsidRPr="00AA6635">
        <w:rPr>
          <w:b/>
          <w:bCs/>
        </w:rPr>
        <w:t>.</w:t>
      </w:r>
      <w:r w:rsidR="00BC2891">
        <w:t xml:space="preserve"> First, regulatory reform can </w:t>
      </w:r>
      <w:r w:rsidR="002A3C73">
        <w:t xml:space="preserve">reduce costs and risks </w:t>
      </w:r>
      <w:r w:rsidR="00FF487C">
        <w:t xml:space="preserve">for </w:t>
      </w:r>
      <w:r w:rsidR="002A3C73">
        <w:t>business</w:t>
      </w:r>
      <w:r w:rsidR="00FF487C">
        <w:t>es</w:t>
      </w:r>
      <w:r w:rsidR="002A3C73">
        <w:t xml:space="preserve">, thus promoting </w:t>
      </w:r>
      <w:r w:rsidR="00B16475" w:rsidRPr="00B16475">
        <w:t>firms</w:t>
      </w:r>
      <w:r w:rsidR="00740578">
        <w:t>’</w:t>
      </w:r>
      <w:r w:rsidR="00B16475" w:rsidRPr="00B16475">
        <w:t xml:space="preserve"> investment</w:t>
      </w:r>
      <w:r w:rsidR="00740578">
        <w:t xml:space="preserve"> in more advanced technologies and better management </w:t>
      </w:r>
      <w:r w:rsidR="00010CEF">
        <w:t>practices</w:t>
      </w:r>
      <w:r w:rsidR="007D4C88">
        <w:t xml:space="preserve"> to make themselves more productive (within growth). Second, regulatory reform can create </w:t>
      </w:r>
      <w:r w:rsidR="00B930CC">
        <w:t>favorable conditions for resource allocation from less productive firms to more productive ones (</w:t>
      </w:r>
      <w:r w:rsidR="0052513F">
        <w:t xml:space="preserve">between growth). Third, </w:t>
      </w:r>
      <w:r w:rsidR="001A137A">
        <w:t xml:space="preserve">regulatory reform can promote entry of new </w:t>
      </w:r>
      <w:r w:rsidR="00296785">
        <w:t xml:space="preserve">domestic and foreign </w:t>
      </w:r>
      <w:r w:rsidR="001A137A">
        <w:t>firms, especially innovative</w:t>
      </w:r>
      <w:r w:rsidR="00BE3C04">
        <w:t xml:space="preserve">, tech-based and high-productivity firms, </w:t>
      </w:r>
      <w:r w:rsidR="007E2803">
        <w:t xml:space="preserve">and exit of low-productivity ones (the so-called “creative destruction”). </w:t>
      </w:r>
      <w:r w:rsidR="003011AD">
        <w:t>Based on th</w:t>
      </w:r>
      <w:r w:rsidR="004271EB">
        <w:t xml:space="preserve">is approach, Section B will provide analytical findings </w:t>
      </w:r>
      <w:r w:rsidR="00555CF6">
        <w:t xml:space="preserve">on the relationships between regulations and the three channel of productivity growth. </w:t>
      </w:r>
    </w:p>
    <w:p w14:paraId="10077720" w14:textId="687DC898" w:rsidR="00DD7D77" w:rsidRDefault="49520618" w:rsidP="00925C0B">
      <w:pPr>
        <w:keepNext/>
        <w:spacing w:after="200"/>
        <w:jc w:val="both"/>
        <w:rPr>
          <w:rFonts w:ascii="Calibri" w:eastAsia="Calibri" w:hAnsi="Calibri" w:cs="Calibri"/>
          <w:i/>
          <w:iCs/>
          <w:color w:val="44546A" w:themeColor="text2"/>
        </w:rPr>
      </w:pPr>
      <w:r w:rsidRPr="4E68FC03">
        <w:rPr>
          <w:rFonts w:ascii="Calibri" w:eastAsia="Calibri" w:hAnsi="Calibri" w:cs="Calibri"/>
          <w:i/>
          <w:iCs/>
          <w:color w:val="44546A" w:themeColor="text2"/>
        </w:rPr>
        <w:lastRenderedPageBreak/>
        <w:t xml:space="preserve">Figure </w:t>
      </w:r>
      <w:r w:rsidR="002D7253">
        <w:rPr>
          <w:rFonts w:ascii="Calibri" w:eastAsia="Calibri" w:hAnsi="Calibri" w:cs="Calibri"/>
          <w:i/>
          <w:iCs/>
          <w:color w:val="44546A" w:themeColor="text2"/>
        </w:rPr>
        <w:t>6</w:t>
      </w:r>
      <w:r w:rsidRPr="4E68FC03">
        <w:rPr>
          <w:rFonts w:ascii="Calibri" w:eastAsia="Calibri" w:hAnsi="Calibri" w:cs="Calibri"/>
          <w:i/>
          <w:iCs/>
          <w:color w:val="44546A" w:themeColor="text2"/>
        </w:rPr>
        <w:t xml:space="preserve">: </w:t>
      </w:r>
      <w:r w:rsidR="005920D4">
        <w:rPr>
          <w:rFonts w:ascii="Calibri" w:eastAsia="Calibri" w:hAnsi="Calibri" w:cs="Calibri"/>
          <w:i/>
          <w:iCs/>
          <w:color w:val="44546A" w:themeColor="text2"/>
        </w:rPr>
        <w:t>Three</w:t>
      </w:r>
      <w:r w:rsidR="004D3CFD" w:rsidRPr="004D3CFD">
        <w:rPr>
          <w:rFonts w:ascii="Calibri" w:eastAsia="Calibri" w:hAnsi="Calibri" w:cs="Calibri"/>
          <w:i/>
          <w:iCs/>
          <w:color w:val="44546A" w:themeColor="text2"/>
        </w:rPr>
        <w:t xml:space="preserve"> channels </w:t>
      </w:r>
      <w:r w:rsidR="005920D4">
        <w:rPr>
          <w:rFonts w:ascii="Calibri" w:eastAsia="Calibri" w:hAnsi="Calibri" w:cs="Calibri"/>
          <w:i/>
          <w:iCs/>
          <w:color w:val="44546A" w:themeColor="text2"/>
        </w:rPr>
        <w:t>of</w:t>
      </w:r>
      <w:r w:rsidR="004D3CFD" w:rsidRPr="004D3CFD">
        <w:rPr>
          <w:rFonts w:ascii="Calibri" w:eastAsia="Calibri" w:hAnsi="Calibri" w:cs="Calibri"/>
          <w:i/>
          <w:iCs/>
          <w:color w:val="44546A" w:themeColor="text2"/>
        </w:rPr>
        <w:t xml:space="preserve"> productivity growth </w:t>
      </w:r>
    </w:p>
    <w:p w14:paraId="7629D9BC" w14:textId="3C8550B4" w:rsidR="00DD7D77" w:rsidRDefault="009B10D5" w:rsidP="4E68FC03">
      <w:pPr>
        <w:spacing w:after="200"/>
        <w:jc w:val="both"/>
        <w:rPr>
          <w:rFonts w:ascii="Calibri" w:eastAsia="Calibri" w:hAnsi="Calibri" w:cs="Calibri"/>
          <w:i/>
          <w:iCs/>
          <w:color w:val="44546A" w:themeColor="text2"/>
        </w:rPr>
      </w:pPr>
      <w:r w:rsidRPr="00906767">
        <w:rPr>
          <w:rFonts w:ascii="Calibri" w:eastAsia="Calibri" w:hAnsi="Calibri" w:cs="Calibri"/>
          <w:noProof/>
        </w:rPr>
        <w:drawing>
          <wp:inline distT="0" distB="0" distL="0" distR="0" wp14:anchorId="2238B8D2" wp14:editId="02498F4C">
            <wp:extent cx="5729434" cy="3041073"/>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9960" cy="3046660"/>
                    </a:xfrm>
                    <a:prstGeom prst="rect">
                      <a:avLst/>
                    </a:prstGeom>
                  </pic:spPr>
                </pic:pic>
              </a:graphicData>
            </a:graphic>
          </wp:inline>
        </w:drawing>
      </w:r>
    </w:p>
    <w:p w14:paraId="360E65F8" w14:textId="22CDDCFA" w:rsidR="004D3CFD" w:rsidRPr="004D3CFD" w:rsidRDefault="49520618" w:rsidP="004D3CFD">
      <w:pPr>
        <w:spacing w:line="257" w:lineRule="auto"/>
        <w:jc w:val="both"/>
        <w:rPr>
          <w:rFonts w:ascii="Calibri" w:eastAsia="Calibri" w:hAnsi="Calibri" w:cs="Calibri"/>
        </w:rPr>
      </w:pPr>
      <w:r w:rsidRPr="4E68FC03">
        <w:rPr>
          <w:rFonts w:ascii="Calibri" w:eastAsia="Calibri" w:hAnsi="Calibri" w:cs="Calibri"/>
        </w:rPr>
        <w:t xml:space="preserve">Source: </w:t>
      </w:r>
      <w:r w:rsidR="003A7327">
        <w:rPr>
          <w:rFonts w:ascii="Calibri" w:eastAsia="Calibri" w:hAnsi="Calibri" w:cs="Calibri"/>
        </w:rPr>
        <w:t xml:space="preserve">Marc </w:t>
      </w:r>
      <w:r w:rsidR="00F00047">
        <w:rPr>
          <w:rFonts w:ascii="Calibri" w:eastAsia="Calibri" w:hAnsi="Calibri" w:cs="Calibri"/>
        </w:rPr>
        <w:t xml:space="preserve"> and Malec</w:t>
      </w:r>
      <w:r w:rsidR="003A7327">
        <w:rPr>
          <w:rFonts w:ascii="Calibri" w:eastAsia="Calibri" w:hAnsi="Calibri" w:cs="Calibri"/>
        </w:rPr>
        <w:t xml:space="preserve"> 2022, </w:t>
      </w:r>
      <w:r w:rsidR="003A7327">
        <w:t>Cirera and Maloney 2017, Cusolito and Maloney 2018</w:t>
      </w:r>
      <w:r w:rsidR="004D3CFD" w:rsidRPr="004D3CFD">
        <w:rPr>
          <w:rFonts w:ascii="Calibri" w:eastAsia="Calibri" w:hAnsi="Calibri" w:cs="Calibri"/>
        </w:rPr>
        <w:t xml:space="preserve">. </w:t>
      </w:r>
    </w:p>
    <w:p w14:paraId="0B85565F" w14:textId="77777777" w:rsidR="00225339" w:rsidRDefault="00225339" w:rsidP="002D2C31">
      <w:pPr>
        <w:autoSpaceDE w:val="0"/>
        <w:autoSpaceDN w:val="0"/>
        <w:adjustRightInd w:val="0"/>
        <w:spacing w:after="0" w:line="240" w:lineRule="auto"/>
        <w:jc w:val="both"/>
        <w:rPr>
          <w:rStyle w:val="Strong"/>
          <w:b w:val="0"/>
          <w:bCs w:val="0"/>
          <w:color w:val="0E101A"/>
        </w:rPr>
      </w:pPr>
    </w:p>
    <w:p w14:paraId="552B7FC7" w14:textId="04746AF3" w:rsidR="005F59D8" w:rsidRDefault="00FC18DF" w:rsidP="005F59D8">
      <w:pPr>
        <w:pStyle w:val="Heading2"/>
      </w:pPr>
      <w:bookmarkStart w:id="12" w:name="_Toc175228082"/>
      <w:r w:rsidRPr="00AA6635">
        <w:t>Identifying b</w:t>
      </w:r>
      <w:r>
        <w:t>usiness regulations</w:t>
      </w:r>
      <w:r w:rsidDel="00C12D71">
        <w:t xml:space="preserve"> </w:t>
      </w:r>
      <w:r>
        <w:t>for reforms</w:t>
      </w:r>
      <w:bookmarkEnd w:id="12"/>
    </w:p>
    <w:p w14:paraId="2F65A48C" w14:textId="1F0D0F6F" w:rsidR="007277FB" w:rsidRDefault="00C83B64" w:rsidP="4DA8FE4C">
      <w:pPr>
        <w:pStyle w:val="ListParagraph"/>
        <w:tabs>
          <w:tab w:val="left" w:pos="450"/>
        </w:tabs>
        <w:spacing w:before="240" w:after="0"/>
        <w:ind w:left="0"/>
        <w:jc w:val="both"/>
      </w:pPr>
      <w:r>
        <w:rPr>
          <w:b/>
          <w:bCs/>
        </w:rPr>
        <w:t xml:space="preserve">Data analysis shows regulatory reform is needed to promote firm entry and investment </w:t>
      </w:r>
      <w:r w:rsidR="00C142ED">
        <w:rPr>
          <w:b/>
          <w:bCs/>
        </w:rPr>
        <w:t xml:space="preserve">across the economy and </w:t>
      </w:r>
      <w:r>
        <w:rPr>
          <w:b/>
          <w:bCs/>
        </w:rPr>
        <w:t xml:space="preserve">in key industries. </w:t>
      </w:r>
      <w:r w:rsidR="00B969DC">
        <w:t xml:space="preserve">Less restrictive regulations for FDI are expected to </w:t>
      </w:r>
      <w:r w:rsidR="00463AF5">
        <w:t xml:space="preserve">attract </w:t>
      </w:r>
      <w:r w:rsidR="00B969DC">
        <w:t xml:space="preserve">more </w:t>
      </w:r>
      <w:r w:rsidR="00463AF5">
        <w:t xml:space="preserve">foreign </w:t>
      </w:r>
      <w:r w:rsidR="00B969DC">
        <w:t>invest</w:t>
      </w:r>
      <w:r w:rsidR="00463AF5">
        <w:t xml:space="preserve">ment into important service sectors such as communications, financial services and </w:t>
      </w:r>
      <w:r w:rsidR="005D21AE">
        <w:t>transport which are facing high levels of restrictiveness.</w:t>
      </w:r>
      <w:r w:rsidR="00595552">
        <w:t xml:space="preserve"> </w:t>
      </w:r>
      <w:r w:rsidR="005D21AE">
        <w:t xml:space="preserve"> </w:t>
      </w:r>
      <w:r w:rsidR="002C3F07">
        <w:t xml:space="preserve">Reforms of licensing regulations and </w:t>
      </w:r>
      <w:r w:rsidR="00052DF3">
        <w:t xml:space="preserve">regulatory </w:t>
      </w:r>
      <w:r w:rsidR="002C3F07">
        <w:t xml:space="preserve">delivery can help promote firms’ innovation which is important for productivity growth. </w:t>
      </w:r>
      <w:r w:rsidR="00586749">
        <w:t xml:space="preserve">Quality and consistency of regulations and public services in </w:t>
      </w:r>
      <w:r w:rsidR="00445254">
        <w:t xml:space="preserve">in various regulatory areas should also be </w:t>
      </w:r>
      <w:r w:rsidR="00405547">
        <w:t xml:space="preserve">focus areas of reform. </w:t>
      </w:r>
      <w:r w:rsidR="00D14C61">
        <w:t>Box 2 provides an example of priority reforms targeting a</w:t>
      </w:r>
      <w:r w:rsidR="002A3354">
        <w:t>n important industry – wind turbine</w:t>
      </w:r>
      <w:r w:rsidR="00AC3ED2">
        <w:t xml:space="preserve"> manufacturing</w:t>
      </w:r>
      <w:r w:rsidR="002A3354">
        <w:t xml:space="preserve">. </w:t>
      </w:r>
    </w:p>
    <w:p w14:paraId="06F73DA7" w14:textId="77777777" w:rsidR="007277FB" w:rsidRDefault="007277FB" w:rsidP="4DA8FE4C">
      <w:pPr>
        <w:pStyle w:val="ListParagraph"/>
        <w:tabs>
          <w:tab w:val="left" w:pos="450"/>
        </w:tabs>
        <w:spacing w:before="240" w:after="0"/>
        <w:ind w:left="0"/>
        <w:jc w:val="both"/>
      </w:pPr>
    </w:p>
    <w:p w14:paraId="7BCF1945" w14:textId="2B8953F5" w:rsidR="004E6BD0" w:rsidRPr="00925C0B" w:rsidRDefault="004E6BD0" w:rsidP="4DA8FE4C">
      <w:pPr>
        <w:pStyle w:val="ListParagraph"/>
        <w:tabs>
          <w:tab w:val="left" w:pos="450"/>
        </w:tabs>
        <w:spacing w:before="240" w:after="0"/>
        <w:ind w:left="0"/>
        <w:jc w:val="both"/>
        <w:rPr>
          <w:b/>
          <w:bCs/>
        </w:rPr>
      </w:pPr>
      <w:r w:rsidRPr="00925C0B">
        <w:rPr>
          <w:b/>
          <w:bCs/>
        </w:rPr>
        <w:t xml:space="preserve">Box </w:t>
      </w:r>
      <w:r w:rsidR="00FF024E">
        <w:rPr>
          <w:b/>
          <w:bCs/>
        </w:rPr>
        <w:t>2</w:t>
      </w:r>
      <w:r w:rsidRPr="00925C0B">
        <w:rPr>
          <w:b/>
          <w:bCs/>
        </w:rPr>
        <w:t xml:space="preserve">: </w:t>
      </w:r>
      <w:r w:rsidR="004F638E">
        <w:rPr>
          <w:b/>
          <w:bCs/>
        </w:rPr>
        <w:t>Priority</w:t>
      </w:r>
      <w:r w:rsidR="00B7188D" w:rsidRPr="00925C0B">
        <w:rPr>
          <w:b/>
          <w:bCs/>
        </w:rPr>
        <w:t xml:space="preserve"> reform</w:t>
      </w:r>
      <w:r w:rsidR="004F638E">
        <w:rPr>
          <w:b/>
          <w:bCs/>
        </w:rPr>
        <w:t>s</w:t>
      </w:r>
      <w:r w:rsidR="00B7188D" w:rsidRPr="00925C0B">
        <w:rPr>
          <w:b/>
          <w:bCs/>
        </w:rPr>
        <w:t xml:space="preserve"> to promote Viet Nam’s wind turbine industry </w:t>
      </w:r>
      <w:r w:rsidR="00472C69">
        <w:rPr>
          <w:b/>
          <w:bCs/>
        </w:rPr>
        <w:t>– findings from a Green Climate Investment Diagnostic (GICD)</w:t>
      </w:r>
    </w:p>
    <w:tbl>
      <w:tblPr>
        <w:tblStyle w:val="TableGrid"/>
        <w:tblW w:w="0" w:type="auto"/>
        <w:shd w:val="clear" w:color="auto" w:fill="D9E2F3" w:themeFill="accent1" w:themeFillTint="33"/>
        <w:tblLook w:val="04A0" w:firstRow="1" w:lastRow="0" w:firstColumn="1" w:lastColumn="0" w:noHBand="0" w:noVBand="1"/>
      </w:tblPr>
      <w:tblGrid>
        <w:gridCol w:w="9350"/>
      </w:tblGrid>
      <w:tr w:rsidR="00A53B70" w14:paraId="2DC3CBF7" w14:textId="77777777" w:rsidTr="00925C0B">
        <w:tc>
          <w:tcPr>
            <w:tcW w:w="9350" w:type="dxa"/>
            <w:shd w:val="clear" w:color="auto" w:fill="D9E2F3" w:themeFill="accent1" w:themeFillTint="33"/>
          </w:tcPr>
          <w:p w14:paraId="1426C8B4" w14:textId="3EEADBA6" w:rsidR="00355F4B" w:rsidRPr="00623C1C" w:rsidRDefault="00BF276C" w:rsidP="4DA8FE4C">
            <w:pPr>
              <w:pStyle w:val="ListParagraph"/>
              <w:tabs>
                <w:tab w:val="left" w:pos="450"/>
              </w:tabs>
              <w:spacing w:before="240"/>
              <w:ind w:left="0"/>
              <w:jc w:val="both"/>
            </w:pPr>
            <w:r w:rsidRPr="00925C0B">
              <w:rPr>
                <w:rStyle w:val="normaltextrun"/>
                <w:rFonts w:cstheme="minorHAnsi"/>
                <w:color w:val="000000" w:themeColor="text1"/>
              </w:rPr>
              <w:t>Wind power is one of the fastest-growing renewable energies worldwide,</w:t>
            </w:r>
            <w:r w:rsidR="00623C1C">
              <w:rPr>
                <w:rStyle w:val="normaltextrun"/>
                <w:rFonts w:cstheme="minorHAnsi"/>
                <w:color w:val="000000" w:themeColor="text1"/>
              </w:rPr>
              <w:t xml:space="preserve"> and</w:t>
            </w:r>
            <w:r w:rsidRPr="00925C0B">
              <w:rPr>
                <w:rStyle w:val="normaltextrun"/>
                <w:rFonts w:cstheme="minorHAnsi"/>
                <w:color w:val="000000" w:themeColor="text1"/>
              </w:rPr>
              <w:t xml:space="preserve"> </w:t>
            </w:r>
            <w:r w:rsidR="00E81F33" w:rsidRPr="00925C0B">
              <w:rPr>
                <w:rStyle w:val="normaltextrun"/>
                <w:rFonts w:cstheme="minorHAnsi"/>
                <w:color w:val="000000" w:themeColor="text1"/>
              </w:rPr>
              <w:t>Viet</w:t>
            </w:r>
            <w:r w:rsidR="0021777A">
              <w:rPr>
                <w:rStyle w:val="normaltextrun"/>
                <w:rFonts w:cstheme="minorHAnsi"/>
                <w:color w:val="000000" w:themeColor="text1"/>
              </w:rPr>
              <w:t xml:space="preserve"> N</w:t>
            </w:r>
            <w:r w:rsidR="00E81F33" w:rsidRPr="00925C0B">
              <w:rPr>
                <w:rStyle w:val="normaltextrun"/>
                <w:rFonts w:cstheme="minorHAnsi"/>
                <w:color w:val="000000" w:themeColor="text1"/>
              </w:rPr>
              <w:t>am has significant untapped potential in wind energy, particularly in offshore generation</w:t>
            </w:r>
            <w:r w:rsidR="00E81F33" w:rsidRPr="00623C1C">
              <w:rPr>
                <w:rStyle w:val="normaltextrun"/>
                <w:rFonts w:cstheme="minorHAnsi"/>
                <w:color w:val="000000" w:themeColor="text1"/>
              </w:rPr>
              <w:t>, with an estimated potential of 600 GW that could contribute over $50 billion to the economy</w:t>
            </w:r>
            <w:r w:rsidR="00B73B1E" w:rsidRPr="00623C1C">
              <w:rPr>
                <w:rStyle w:val="normaltextrun"/>
                <w:rFonts w:cstheme="minorHAnsi"/>
                <w:color w:val="000000" w:themeColor="text1"/>
              </w:rPr>
              <w:t xml:space="preserve">. </w:t>
            </w:r>
            <w:r w:rsidR="00B73B1E" w:rsidRPr="00925C0B">
              <w:rPr>
                <w:rStyle w:val="normaltextrun"/>
                <w:rFonts w:cstheme="minorHAnsi"/>
                <w:color w:val="000000" w:themeColor="text1"/>
              </w:rPr>
              <w:t>Wind turbines are crucial for wind energy generation, and global production is expected to double by 2030</w:t>
            </w:r>
            <w:r w:rsidR="000D0FD9">
              <w:rPr>
                <w:rStyle w:val="normaltextrun"/>
                <w:rFonts w:cstheme="minorHAnsi"/>
                <w:color w:val="000000" w:themeColor="text1"/>
              </w:rPr>
              <w:t xml:space="preserve">, </w:t>
            </w:r>
            <w:r w:rsidR="000D0FD9" w:rsidRPr="00603557">
              <w:rPr>
                <w:rStyle w:val="normaltextrun"/>
                <w:rFonts w:cstheme="minorHAnsi"/>
                <w:color w:val="000000" w:themeColor="text1"/>
              </w:rPr>
              <w:t>increas</w:t>
            </w:r>
            <w:r w:rsidR="000D0FD9">
              <w:rPr>
                <w:rStyle w:val="normaltextrun"/>
                <w:rFonts w:cstheme="minorHAnsi"/>
                <w:color w:val="000000" w:themeColor="text1"/>
              </w:rPr>
              <w:t>ing</w:t>
            </w:r>
            <w:r w:rsidR="000D0FD9" w:rsidRPr="00603557">
              <w:rPr>
                <w:rStyle w:val="normaltextrun"/>
                <w:rFonts w:cstheme="minorHAnsi"/>
                <w:color w:val="000000" w:themeColor="text1"/>
              </w:rPr>
              <w:t xml:space="preserve"> from $87.6 billion in 2022 to $174.7 billion by 2030</w:t>
            </w:r>
            <w:r w:rsidR="000D0FD9">
              <w:rPr>
                <w:rStyle w:val="normaltextrun"/>
                <w:rFonts w:cstheme="minorHAnsi"/>
                <w:color w:val="000000" w:themeColor="text1"/>
              </w:rPr>
              <w:t>.</w:t>
            </w:r>
            <w:r w:rsidR="008920C7">
              <w:rPr>
                <w:rStyle w:val="normaltextrun"/>
                <w:rFonts w:cstheme="minorHAnsi"/>
                <w:color w:val="000000" w:themeColor="text1"/>
              </w:rPr>
              <w:t xml:space="preserve"> </w:t>
            </w:r>
            <w:r w:rsidR="0092468E">
              <w:rPr>
                <w:rStyle w:val="normaltextrun"/>
                <w:rFonts w:cstheme="minorHAnsi"/>
                <w:color w:val="000000" w:themeColor="text1"/>
              </w:rPr>
              <w:t>W</w:t>
            </w:r>
            <w:r w:rsidR="00065CB8">
              <w:rPr>
                <w:rStyle w:val="normaltextrun"/>
                <w:rFonts w:cstheme="minorHAnsi"/>
                <w:color w:val="000000" w:themeColor="text1"/>
              </w:rPr>
              <w:t xml:space="preserve">ind turbine industry can be an important growth-driving industry for Viet Nam in the coming years. </w:t>
            </w:r>
            <w:r w:rsidR="000A5E76">
              <w:rPr>
                <w:rStyle w:val="normaltextrun"/>
                <w:rFonts w:cstheme="minorHAnsi"/>
                <w:color w:val="000000" w:themeColor="text1"/>
              </w:rPr>
              <w:t xml:space="preserve">Reforming related regulations and removing </w:t>
            </w:r>
            <w:r w:rsidR="0092468E">
              <w:rPr>
                <w:rStyle w:val="normaltextrun"/>
                <w:rFonts w:cstheme="minorHAnsi"/>
                <w:color w:val="000000" w:themeColor="text1"/>
              </w:rPr>
              <w:t xml:space="preserve">barriers to the development of the industry is </w:t>
            </w:r>
            <w:r w:rsidR="00DA29C0">
              <w:rPr>
                <w:rStyle w:val="normaltextrun"/>
                <w:rFonts w:cstheme="minorHAnsi"/>
                <w:color w:val="000000" w:themeColor="text1"/>
              </w:rPr>
              <w:t>very important for the country to fully realize this growth potential.</w:t>
            </w:r>
          </w:p>
          <w:p w14:paraId="45A66654" w14:textId="070FB2B8" w:rsidR="00A53B70" w:rsidRDefault="00623C1C" w:rsidP="00DF69FF">
            <w:pPr>
              <w:pStyle w:val="ListParagraph"/>
              <w:tabs>
                <w:tab w:val="left" w:pos="450"/>
              </w:tabs>
              <w:spacing w:before="240"/>
              <w:ind w:left="0"/>
              <w:jc w:val="both"/>
            </w:pPr>
            <w:r w:rsidRPr="001F4310">
              <w:rPr>
                <w:rStyle w:val="normaltextrun"/>
                <w:rFonts w:cstheme="minorHAnsi"/>
                <w:color w:val="000000" w:themeColor="text1"/>
              </w:rPr>
              <w:t>In March and April 2024, the World Bank conducted a comprehensive Green Investment Climate Diagnostic (GICD) for the wind turbine manufacturing sector in Vietnam</w:t>
            </w:r>
            <w:r w:rsidR="00DF69FF">
              <w:rPr>
                <w:rStyle w:val="normaltextrun"/>
                <w:rFonts w:cstheme="minorHAnsi"/>
                <w:color w:val="000000" w:themeColor="text1"/>
              </w:rPr>
              <w:t xml:space="preserve">. </w:t>
            </w:r>
            <w:r w:rsidR="004E6BD0">
              <w:t>Preliminary findings of diagnostic</w:t>
            </w:r>
            <w:r w:rsidR="00ED53C4">
              <w:t xml:space="preserve"> point to the </w:t>
            </w:r>
            <w:r w:rsidR="0034375D">
              <w:t xml:space="preserve">regulatory </w:t>
            </w:r>
            <w:r w:rsidR="00C90DCD">
              <w:t xml:space="preserve">reforms that should be prioritized </w:t>
            </w:r>
            <w:r w:rsidR="0024205D">
              <w:t xml:space="preserve">for the wind turbine manufacturing industry to develop as follows: </w:t>
            </w:r>
          </w:p>
          <w:p w14:paraId="3781BEC9" w14:textId="44076A7B" w:rsidR="00D91BF4" w:rsidRPr="00D91BF4" w:rsidRDefault="00D91BF4" w:rsidP="00925C0B">
            <w:pPr>
              <w:pStyle w:val="ListParagraph"/>
              <w:numPr>
                <w:ilvl w:val="0"/>
                <w:numId w:val="39"/>
              </w:numPr>
              <w:spacing w:before="120" w:after="120"/>
              <w:jc w:val="both"/>
              <w:rPr>
                <w:rStyle w:val="normaltextrun"/>
                <w:rFonts w:cstheme="minorHAnsi"/>
                <w:color w:val="000000" w:themeColor="text1"/>
              </w:rPr>
            </w:pPr>
            <w:r w:rsidRPr="00D91BF4">
              <w:rPr>
                <w:rStyle w:val="normaltextrun"/>
                <w:rFonts w:cstheme="minorHAnsi"/>
                <w:b/>
                <w:bCs/>
                <w:color w:val="000000" w:themeColor="text1"/>
              </w:rPr>
              <w:lastRenderedPageBreak/>
              <w:t>Revise Decree 111/2015/ND-CP and other business regulations</w:t>
            </w:r>
            <w:r w:rsidRPr="00D91BF4">
              <w:rPr>
                <w:rStyle w:val="normaltextrun"/>
                <w:rFonts w:cstheme="minorHAnsi"/>
                <w:color w:val="000000" w:themeColor="text1"/>
              </w:rPr>
              <w:t xml:space="preserve"> to streamline administrative procedures and inspections, reduce administrative procedures during the establishment and operation of businesses, and ensure that information technology infrastructure meets requirements.</w:t>
            </w:r>
          </w:p>
          <w:p w14:paraId="0780FAD1" w14:textId="2B47A3E1" w:rsidR="00D91BF4" w:rsidRPr="00D91BF4" w:rsidRDefault="00D91BF4" w:rsidP="00925C0B">
            <w:pPr>
              <w:pStyle w:val="ListParagraph"/>
              <w:numPr>
                <w:ilvl w:val="0"/>
                <w:numId w:val="39"/>
              </w:numPr>
              <w:spacing w:before="120" w:after="120"/>
              <w:jc w:val="both"/>
              <w:rPr>
                <w:rStyle w:val="normaltextrun"/>
                <w:rFonts w:cstheme="minorHAnsi"/>
                <w:color w:val="000000" w:themeColor="text1"/>
              </w:rPr>
            </w:pPr>
            <w:r w:rsidRPr="00D91BF4">
              <w:rPr>
                <w:rStyle w:val="normaltextrun"/>
                <w:rFonts w:cstheme="minorHAnsi"/>
                <w:b/>
                <w:bCs/>
                <w:color w:val="000000" w:themeColor="text1"/>
              </w:rPr>
              <w:t>Amend Decree 111/2015/ND-CP to clarify the definition, scope, and guidelines to establish the incentive criteria and eligibility</w:t>
            </w:r>
            <w:r w:rsidRPr="00D91BF4">
              <w:rPr>
                <w:rStyle w:val="normaltextrun"/>
                <w:rFonts w:cstheme="minorHAnsi"/>
                <w:color w:val="000000" w:themeColor="text1"/>
              </w:rPr>
              <w:t xml:space="preserve"> of wind turbine component and sub-component industries, creating favorable conditions for businesses producing supporting industrial products.</w:t>
            </w:r>
          </w:p>
          <w:p w14:paraId="5DE3198B" w14:textId="6C153ED9" w:rsidR="00D91BF4" w:rsidRPr="00925C0B" w:rsidRDefault="00D91BF4" w:rsidP="00D91BF4">
            <w:pPr>
              <w:pStyle w:val="ListParagraph"/>
              <w:numPr>
                <w:ilvl w:val="0"/>
                <w:numId w:val="39"/>
              </w:numPr>
              <w:tabs>
                <w:tab w:val="left" w:pos="450"/>
              </w:tabs>
              <w:spacing w:before="240"/>
              <w:jc w:val="both"/>
              <w:rPr>
                <w:rStyle w:val="normaltextrun"/>
              </w:rPr>
            </w:pPr>
            <w:r w:rsidRPr="009B5AAB">
              <w:rPr>
                <w:rStyle w:val="normaltextrun"/>
                <w:rFonts w:cstheme="minorHAnsi"/>
                <w:b/>
                <w:bCs/>
                <w:color w:val="000000" w:themeColor="text1"/>
              </w:rPr>
              <w:t>Amend Decree 111/2015/ND-CP and related decrees to provide specific incentives for wind turbine components, parts, and assembly</w:t>
            </w:r>
            <w:r w:rsidRPr="009B5AAB">
              <w:rPr>
                <w:rStyle w:val="normaltextrun"/>
                <w:rFonts w:cstheme="minorHAnsi"/>
                <w:color w:val="000000" w:themeColor="text1"/>
              </w:rPr>
              <w:t>. Promote credit support and encourage investment in high value-added industrial fields, priority industries, high-tech industries, and supporting industries</w:t>
            </w:r>
            <w:r>
              <w:rPr>
                <w:rStyle w:val="normaltextrun"/>
                <w:rFonts w:cstheme="minorHAnsi"/>
                <w:color w:val="000000" w:themeColor="text1"/>
              </w:rPr>
              <w:t>, including wind turbines parts, components, and final assembly</w:t>
            </w:r>
            <w:r w:rsidRPr="009B5AAB">
              <w:rPr>
                <w:rStyle w:val="normaltextrun"/>
                <w:rFonts w:cstheme="minorHAnsi"/>
                <w:color w:val="000000" w:themeColor="text1"/>
              </w:rPr>
              <w:t>. Complete credit policies for lending according to production networks and value chains in industrial production and lending based on the effectiveness of investment projects.</w:t>
            </w:r>
          </w:p>
          <w:p w14:paraId="3EBB2D40" w14:textId="0E0C49B4" w:rsidR="0024205D" w:rsidRDefault="00AB7CC6" w:rsidP="00925C0B">
            <w:pPr>
              <w:tabs>
                <w:tab w:val="left" w:pos="450"/>
              </w:tabs>
              <w:spacing w:before="240"/>
              <w:jc w:val="right"/>
            </w:pPr>
            <w:r>
              <w:t>(See Annex IV for more details)</w:t>
            </w:r>
          </w:p>
        </w:tc>
      </w:tr>
    </w:tbl>
    <w:p w14:paraId="19E3DAE4" w14:textId="77777777" w:rsidR="001C294A" w:rsidRDefault="001C294A" w:rsidP="4DA8FE4C">
      <w:pPr>
        <w:pStyle w:val="ListParagraph"/>
        <w:tabs>
          <w:tab w:val="left" w:pos="450"/>
        </w:tabs>
        <w:spacing w:before="240" w:after="0"/>
        <w:ind w:left="0"/>
        <w:jc w:val="both"/>
        <w:rPr>
          <w:b/>
          <w:bCs/>
        </w:rPr>
      </w:pPr>
    </w:p>
    <w:p w14:paraId="49D38218" w14:textId="7508EDA5" w:rsidR="00CF0BA9" w:rsidRPr="00DB567E" w:rsidRDefault="00B41E92" w:rsidP="4DA8FE4C">
      <w:pPr>
        <w:pStyle w:val="ListParagraph"/>
        <w:tabs>
          <w:tab w:val="left" w:pos="450"/>
        </w:tabs>
        <w:spacing w:before="240" w:after="0"/>
        <w:ind w:left="0"/>
        <w:jc w:val="both"/>
        <w:rPr>
          <w:b/>
          <w:bCs/>
        </w:rPr>
      </w:pPr>
      <w:r>
        <w:rPr>
          <w:b/>
          <w:bCs/>
        </w:rPr>
        <w:t>B</w:t>
      </w:r>
      <w:r w:rsidR="00B62BEC">
        <w:rPr>
          <w:b/>
          <w:bCs/>
        </w:rPr>
        <w:t xml:space="preserve">etter quality of public service delivery and </w:t>
      </w:r>
      <w:r w:rsidR="00CF0BA9">
        <w:rPr>
          <w:b/>
          <w:bCs/>
        </w:rPr>
        <w:t>f</w:t>
      </w:r>
      <w:r w:rsidR="00CF0BA9" w:rsidRPr="00ED086A">
        <w:rPr>
          <w:b/>
          <w:bCs/>
        </w:rPr>
        <w:t xml:space="preserve">ewer restrictions on FDI </w:t>
      </w:r>
      <w:r w:rsidR="000A4C0A">
        <w:rPr>
          <w:b/>
          <w:bCs/>
        </w:rPr>
        <w:t xml:space="preserve">have </w:t>
      </w:r>
      <w:r w:rsidR="00CF0BA9" w:rsidRPr="00ED086A">
        <w:rPr>
          <w:b/>
          <w:bCs/>
        </w:rPr>
        <w:t>encourage</w:t>
      </w:r>
      <w:r w:rsidR="000A4C0A">
        <w:rPr>
          <w:b/>
          <w:bCs/>
        </w:rPr>
        <w:t>d</w:t>
      </w:r>
      <w:r w:rsidR="00CF0BA9" w:rsidRPr="00ED086A">
        <w:rPr>
          <w:b/>
          <w:bCs/>
        </w:rPr>
        <w:t xml:space="preserve"> </w:t>
      </w:r>
      <w:r w:rsidR="00CF0BA9">
        <w:rPr>
          <w:b/>
          <w:bCs/>
        </w:rPr>
        <w:t>the creation of</w:t>
      </w:r>
      <w:r w:rsidR="00CF0BA9" w:rsidRPr="00ED086A">
        <w:rPr>
          <w:b/>
          <w:bCs/>
        </w:rPr>
        <w:t xml:space="preserve"> firms.</w:t>
      </w:r>
      <w:r w:rsidR="00CF0BA9" w:rsidRPr="00DB567E">
        <w:rPr>
          <w:b/>
          <w:bCs/>
        </w:rPr>
        <w:t xml:space="preserve"> </w:t>
      </w:r>
      <w:r w:rsidR="00CF0BA9" w:rsidRPr="009838B0">
        <w:t xml:space="preserve">The average rate of market entry for firms </w:t>
      </w:r>
      <w:r w:rsidR="00BD41F4" w:rsidRPr="009838B0">
        <w:t>in Viet</w:t>
      </w:r>
      <w:r w:rsidR="00BD41F4">
        <w:t xml:space="preserve"> N</w:t>
      </w:r>
      <w:r w:rsidR="00BD41F4" w:rsidRPr="009838B0">
        <w:t>am</w:t>
      </w:r>
      <w:r w:rsidR="00BD41F4">
        <w:t xml:space="preserve"> </w:t>
      </w:r>
      <w:r w:rsidR="00CF0BA9" w:rsidRPr="009838B0">
        <w:t xml:space="preserve">is larger among provinces </w:t>
      </w:r>
      <w:r w:rsidR="00CF0BA9">
        <w:t>with</w:t>
      </w:r>
      <w:r w:rsidR="00CF0BA9" w:rsidRPr="009838B0">
        <w:t xml:space="preserve"> higher quality business </w:t>
      </w:r>
      <w:r w:rsidR="006E7F7D" w:rsidRPr="009838B0">
        <w:t>regulat</w:t>
      </w:r>
      <w:r w:rsidR="006E7F7D">
        <w:t>ory delivery</w:t>
      </w:r>
      <w:r w:rsidR="00CF0BA9" w:rsidRPr="009838B0">
        <w:t>,</w:t>
      </w:r>
      <w:r w:rsidR="00C60F3F">
        <w:rPr>
          <w:rStyle w:val="FootnoteReference"/>
        </w:rPr>
        <w:footnoteReference w:id="24"/>
      </w:r>
      <w:r w:rsidR="00CF0BA9" w:rsidRPr="009838B0">
        <w:t xml:space="preserve"> including lower market entry costs, more transparent procedures, </w:t>
      </w:r>
      <w:r w:rsidR="00CF0BA9">
        <w:t>fewer</w:t>
      </w:r>
      <w:r w:rsidR="00CF0BA9" w:rsidRPr="009838B0">
        <w:t xml:space="preserve"> informal charges, and lower bureaucracy. For example, the share of new firms in the total number of firms is twice as high in Da Nang (entry rate of 12 percent)</w:t>
      </w:r>
      <w:r w:rsidR="00CF0BA9">
        <w:t>,</w:t>
      </w:r>
      <w:r w:rsidR="00CF0BA9" w:rsidRPr="009838B0">
        <w:t xml:space="preserve"> which has m</w:t>
      </w:r>
      <w:r w:rsidR="004E0805">
        <w:t>o</w:t>
      </w:r>
      <w:r w:rsidR="00CF0BA9" w:rsidRPr="009838B0">
        <w:t>re streamlined and transparent entry than in the Lai Ch</w:t>
      </w:r>
      <w:r w:rsidR="0079301B">
        <w:t>a</w:t>
      </w:r>
      <w:r w:rsidR="00CF0BA9" w:rsidRPr="009838B0">
        <w:t>u or Binh Thuan provinces</w:t>
      </w:r>
      <w:r w:rsidR="00CF0BA9">
        <w:t>,</w:t>
      </w:r>
      <w:r w:rsidR="00CF0BA9" w:rsidRPr="009838B0">
        <w:t xml:space="preserve"> which have among the most </w:t>
      </w:r>
      <w:r w:rsidR="00F91616">
        <w:t xml:space="preserve">cumbersome </w:t>
      </w:r>
      <w:r w:rsidR="00A45B42">
        <w:t>public service delivery</w:t>
      </w:r>
      <w:r w:rsidR="00F91616">
        <w:t xml:space="preserve"> </w:t>
      </w:r>
      <w:r w:rsidR="00CF0BA9" w:rsidRPr="009838B0">
        <w:t>(</w:t>
      </w:r>
      <w:r w:rsidR="005B7D48">
        <w:t>F</w:t>
      </w:r>
      <w:r w:rsidR="005B7D48" w:rsidRPr="009838B0">
        <w:t>igure</w:t>
      </w:r>
      <w:r w:rsidR="005B7D48">
        <w:t xml:space="preserve"> </w:t>
      </w:r>
      <w:r w:rsidR="00BE2B92">
        <w:t>7</w:t>
      </w:r>
      <w:r w:rsidR="00C30D29">
        <w:t>a</w:t>
      </w:r>
      <w:r w:rsidR="00CF0BA9" w:rsidRPr="009838B0">
        <w:t xml:space="preserve">). Moreover, sectors with fewer restrictions to FDI </w:t>
      </w:r>
      <w:r w:rsidR="00E452D0">
        <w:t>show</w:t>
      </w:r>
      <w:r w:rsidR="00E452D0" w:rsidRPr="009838B0">
        <w:t xml:space="preserve"> </w:t>
      </w:r>
      <w:r w:rsidR="00225185">
        <w:t xml:space="preserve">higher </w:t>
      </w:r>
      <w:r w:rsidR="00CF0BA9" w:rsidRPr="009838B0">
        <w:t xml:space="preserve">FDI </w:t>
      </w:r>
      <w:r w:rsidR="00225185">
        <w:t>stocks</w:t>
      </w:r>
      <w:r w:rsidR="00225185" w:rsidRPr="009838B0">
        <w:t xml:space="preserve"> </w:t>
      </w:r>
      <w:r w:rsidR="00CF0BA9" w:rsidRPr="009838B0">
        <w:t>(</w:t>
      </w:r>
      <w:r w:rsidR="005B7D48">
        <w:t>F</w:t>
      </w:r>
      <w:r w:rsidR="005B7D48" w:rsidRPr="009838B0">
        <w:t xml:space="preserve">igure </w:t>
      </w:r>
      <w:r w:rsidR="00BE2B92">
        <w:t>7</w:t>
      </w:r>
      <w:r w:rsidR="00CF0BA9">
        <w:t>b</w:t>
      </w:r>
      <w:r w:rsidR="00CF0BA9" w:rsidRPr="009838B0">
        <w:t xml:space="preserve">). </w:t>
      </w:r>
      <w:r w:rsidR="00CB05C4">
        <w:t xml:space="preserve">The association between </w:t>
      </w:r>
      <w:r w:rsidR="001F74D4">
        <w:t xml:space="preserve">conducive </w:t>
      </w:r>
      <w:r w:rsidR="00805720">
        <w:t>re</w:t>
      </w:r>
      <w:r w:rsidR="001F74D4">
        <w:t xml:space="preserve">gulations and </w:t>
      </w:r>
      <w:r w:rsidR="00F66461">
        <w:t xml:space="preserve">firm entry </w:t>
      </w:r>
      <w:r w:rsidR="00403CD0">
        <w:t xml:space="preserve">or FDI </w:t>
      </w:r>
      <w:r w:rsidR="002B7A7E">
        <w:t xml:space="preserve">reinforce the </w:t>
      </w:r>
      <w:r w:rsidR="00721E79">
        <w:t>potential benefit</w:t>
      </w:r>
      <w:r w:rsidR="00CA7171">
        <w:t xml:space="preserve"> of </w:t>
      </w:r>
      <w:r w:rsidR="00D0312E" w:rsidRPr="004A2793">
        <w:t xml:space="preserve">removing regulatory barriers </w:t>
      </w:r>
      <w:r w:rsidR="00B42AE6">
        <w:t>to increase both domestic and foreign investment</w:t>
      </w:r>
      <w:r w:rsidR="00D0312E" w:rsidRPr="004A2793">
        <w:t xml:space="preserve">. </w:t>
      </w:r>
    </w:p>
    <w:p w14:paraId="7B43F070" w14:textId="4EAC73D5" w:rsidR="00CF0BA9" w:rsidRPr="004A2793" w:rsidRDefault="00CF0BA9" w:rsidP="004A2793">
      <w:pPr>
        <w:pStyle w:val="Caption"/>
        <w:keepNext/>
        <w:spacing w:before="240" w:after="0"/>
        <w:jc w:val="both"/>
        <w:rPr>
          <w:sz w:val="20"/>
          <w:szCs w:val="20"/>
        </w:rPr>
      </w:pPr>
      <w:r w:rsidRPr="4DA8FE4C">
        <w:rPr>
          <w:rFonts w:asciiTheme="minorHAnsi" w:hAnsiTheme="minorHAnsi"/>
          <w:sz w:val="20"/>
          <w:szCs w:val="20"/>
        </w:rPr>
        <w:lastRenderedPageBreak/>
        <w:t xml:space="preserve">Figure </w:t>
      </w:r>
      <w:r w:rsidR="00BE2B92">
        <w:rPr>
          <w:rFonts w:asciiTheme="minorHAnsi" w:hAnsiTheme="minorHAnsi"/>
          <w:sz w:val="20"/>
          <w:szCs w:val="20"/>
        </w:rPr>
        <w:t>7</w:t>
      </w:r>
      <w:r w:rsidRPr="4DA8FE4C">
        <w:rPr>
          <w:rFonts w:asciiTheme="minorHAnsi" w:hAnsiTheme="minorHAnsi"/>
          <w:sz w:val="20"/>
          <w:szCs w:val="20"/>
        </w:rPr>
        <w:t xml:space="preserve">. Fewer </w:t>
      </w:r>
      <w:r w:rsidR="00CC6602" w:rsidRPr="4DA8FE4C">
        <w:rPr>
          <w:rFonts w:asciiTheme="minorHAnsi" w:hAnsiTheme="minorHAnsi"/>
          <w:sz w:val="20"/>
          <w:szCs w:val="20"/>
        </w:rPr>
        <w:t xml:space="preserve">obstacles and </w:t>
      </w:r>
      <w:r w:rsidRPr="4DA8FE4C">
        <w:rPr>
          <w:rFonts w:asciiTheme="minorHAnsi" w:hAnsiTheme="minorHAnsi"/>
          <w:sz w:val="20"/>
          <w:szCs w:val="20"/>
        </w:rPr>
        <w:t>restrictions on FDI and domestic firms to enter markets across provinces and sectors in Viet</w:t>
      </w:r>
      <w:r w:rsidR="00722697">
        <w:rPr>
          <w:rFonts w:asciiTheme="minorHAnsi" w:hAnsiTheme="minorHAnsi"/>
          <w:sz w:val="20"/>
          <w:szCs w:val="20"/>
        </w:rPr>
        <w:t xml:space="preserve"> </w:t>
      </w:r>
      <w:r w:rsidR="00DA2AF9">
        <w:rPr>
          <w:rFonts w:asciiTheme="minorHAnsi" w:hAnsiTheme="minorHAnsi"/>
          <w:sz w:val="20"/>
          <w:szCs w:val="20"/>
        </w:rPr>
        <w:t>N</w:t>
      </w:r>
      <w:r w:rsidR="00722697" w:rsidRPr="4DA8FE4C">
        <w:rPr>
          <w:rFonts w:asciiTheme="minorHAnsi" w:hAnsiTheme="minorHAnsi"/>
          <w:sz w:val="20"/>
          <w:szCs w:val="20"/>
        </w:rPr>
        <w:t>am</w:t>
      </w:r>
      <w:r w:rsidRPr="4DA8FE4C">
        <w:rPr>
          <w:rFonts w:asciiTheme="minorHAnsi" w:hAnsiTheme="minorHAnsi"/>
          <w:sz w:val="20"/>
          <w:szCs w:val="20"/>
        </w:rPr>
        <w:t xml:space="preserve"> </w:t>
      </w:r>
      <w:r w:rsidR="734149A6" w:rsidRPr="4DA8FE4C">
        <w:rPr>
          <w:rFonts w:asciiTheme="minorHAnsi" w:hAnsiTheme="minorHAnsi"/>
          <w:sz w:val="20"/>
          <w:szCs w:val="20"/>
        </w:rPr>
        <w:t xml:space="preserve">seem to </w:t>
      </w:r>
      <w:r w:rsidRPr="4DA8FE4C">
        <w:rPr>
          <w:rFonts w:asciiTheme="minorHAnsi" w:hAnsiTheme="minorHAnsi"/>
          <w:sz w:val="20"/>
          <w:szCs w:val="20"/>
        </w:rPr>
        <w:t xml:space="preserve">encourage </w:t>
      </w:r>
      <w:r w:rsidR="5DAF8628" w:rsidRPr="4DA8FE4C">
        <w:rPr>
          <w:rFonts w:asciiTheme="minorHAnsi" w:hAnsiTheme="minorHAnsi"/>
          <w:sz w:val="20"/>
          <w:szCs w:val="20"/>
        </w:rPr>
        <w:t xml:space="preserve">entry of </w:t>
      </w:r>
      <w:r w:rsidRPr="4DA8FE4C">
        <w:rPr>
          <w:rFonts w:asciiTheme="minorHAnsi" w:hAnsiTheme="minorHAnsi"/>
          <w:sz w:val="20"/>
          <w:szCs w:val="20"/>
        </w:rPr>
        <w:t>new firms.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222"/>
        <w:gridCol w:w="4540"/>
      </w:tblGrid>
      <w:tr w:rsidR="00CF0BA9" w:rsidRPr="003F6C71" w14:paraId="3CE38553" w14:textId="77777777" w:rsidTr="15E5BA73">
        <w:trPr>
          <w:jc w:val="center"/>
        </w:trPr>
        <w:tc>
          <w:tcPr>
            <w:tcW w:w="2458" w:type="pct"/>
          </w:tcPr>
          <w:p w14:paraId="786C03C0" w14:textId="7DA497EA" w:rsidR="00CF0BA9" w:rsidRPr="004A2793" w:rsidRDefault="00CF0BA9" w:rsidP="004A2793">
            <w:pPr>
              <w:keepNext/>
              <w:keepLines/>
              <w:spacing w:before="120"/>
              <w:jc w:val="both"/>
              <w:rPr>
                <w:rFonts w:eastAsiaTheme="majorEastAsia" w:cstheme="minorHAnsi"/>
                <w:color w:val="2F5496" w:themeColor="accent1" w:themeShade="BF"/>
                <w:sz w:val="20"/>
                <w:szCs w:val="20"/>
              </w:rPr>
            </w:pPr>
            <w:r w:rsidRPr="004A2793">
              <w:rPr>
                <w:rFonts w:eastAsiaTheme="majorEastAsia" w:cstheme="minorHAnsi"/>
                <w:color w:val="2F5496" w:themeColor="accent1" w:themeShade="BF"/>
                <w:sz w:val="20"/>
                <w:szCs w:val="20"/>
              </w:rPr>
              <w:t xml:space="preserve">a. Quality of </w:t>
            </w:r>
            <w:r w:rsidR="00FB7B47" w:rsidRPr="004A2793">
              <w:rPr>
                <w:rFonts w:eastAsiaTheme="majorEastAsia" w:cstheme="minorHAnsi"/>
                <w:color w:val="2F5496" w:themeColor="accent1" w:themeShade="BF"/>
                <w:sz w:val="20"/>
                <w:szCs w:val="20"/>
              </w:rPr>
              <w:t xml:space="preserve">public services delivery </w:t>
            </w:r>
            <w:r w:rsidRPr="004A2793">
              <w:rPr>
                <w:rFonts w:eastAsiaTheme="majorEastAsia" w:cstheme="minorHAnsi"/>
                <w:color w:val="2F5496" w:themeColor="accent1" w:themeShade="BF"/>
                <w:sz w:val="20"/>
                <w:szCs w:val="20"/>
              </w:rPr>
              <w:t>in 63 provinces</w:t>
            </w:r>
          </w:p>
        </w:tc>
        <w:tc>
          <w:tcPr>
            <w:tcW w:w="119" w:type="pct"/>
          </w:tcPr>
          <w:p w14:paraId="62D8E1BF" w14:textId="77777777" w:rsidR="00CF0BA9" w:rsidRPr="003F6C71" w:rsidRDefault="00CF0BA9" w:rsidP="006F27C9">
            <w:pPr>
              <w:keepNext/>
              <w:keepLines/>
              <w:spacing w:before="240"/>
              <w:rPr>
                <w:rFonts w:asciiTheme="majorHAnsi" w:hAnsiTheme="majorHAnsi" w:cstheme="majorHAnsi"/>
                <w:b/>
                <w:bCs/>
              </w:rPr>
            </w:pPr>
          </w:p>
        </w:tc>
        <w:tc>
          <w:tcPr>
            <w:tcW w:w="2423" w:type="pct"/>
          </w:tcPr>
          <w:p w14:paraId="3559461D" w14:textId="77777777" w:rsidR="00CF0BA9" w:rsidRPr="004B310D" w:rsidRDefault="00CF0BA9" w:rsidP="004A2793">
            <w:pPr>
              <w:keepNext/>
              <w:keepLines/>
              <w:spacing w:before="120"/>
              <w:jc w:val="both"/>
              <w:rPr>
                <w:rFonts w:asciiTheme="majorHAnsi" w:hAnsiTheme="majorHAnsi" w:cstheme="majorHAnsi"/>
              </w:rPr>
            </w:pPr>
            <w:r w:rsidRPr="004A2793">
              <w:rPr>
                <w:rFonts w:eastAsiaTheme="majorEastAsia" w:cstheme="minorHAnsi"/>
                <w:color w:val="2F5496" w:themeColor="accent1" w:themeShade="BF"/>
                <w:sz w:val="20"/>
                <w:szCs w:val="20"/>
              </w:rPr>
              <w:t>b. FDI restrictiveness index across 22 sectors</w:t>
            </w:r>
            <w:r w:rsidRPr="004B310D">
              <w:rPr>
                <w:rFonts w:asciiTheme="majorHAnsi" w:hAnsiTheme="majorHAnsi" w:cstheme="majorHAnsi"/>
              </w:rPr>
              <w:t xml:space="preserve">                 </w:t>
            </w:r>
          </w:p>
        </w:tc>
      </w:tr>
      <w:tr w:rsidR="00CF0BA9" w:rsidRPr="00013A7E" w14:paraId="4EE128DD" w14:textId="77777777" w:rsidTr="15E5BA73">
        <w:trPr>
          <w:trHeight w:val="2385"/>
          <w:jc w:val="center"/>
        </w:trPr>
        <w:tc>
          <w:tcPr>
            <w:tcW w:w="2458" w:type="pct"/>
          </w:tcPr>
          <w:p w14:paraId="7F7EA33B" w14:textId="77777777" w:rsidR="00CF0BA9" w:rsidRPr="00013A7E" w:rsidRDefault="00CF0BA9" w:rsidP="15E5BA73">
            <w:pPr>
              <w:widowControl w:val="0"/>
              <w:spacing w:before="120"/>
              <w:rPr>
                <w:rFonts w:asciiTheme="majorHAnsi" w:hAnsiTheme="majorHAnsi" w:cstheme="majorBidi"/>
              </w:rPr>
            </w:pPr>
            <w:r>
              <w:rPr>
                <w:noProof/>
              </w:rPr>
              <w:drawing>
                <wp:inline distT="0" distB="0" distL="0" distR="0" wp14:anchorId="7C47BEAE" wp14:editId="2BECC9B2">
                  <wp:extent cx="2855167" cy="2808514"/>
                  <wp:effectExtent l="0" t="0" r="2540" b="11430"/>
                  <wp:docPr id="26" name="Chart 26">
                    <a:extLst xmlns:a="http://schemas.openxmlformats.org/drawingml/2006/main">
                      <a:ext uri="{FF2B5EF4-FFF2-40B4-BE49-F238E27FC236}">
                        <a16:creationId xmlns:a16="http://schemas.microsoft.com/office/drawing/2014/main" id="{C639A1B8-D22A-E962-2D37-A43FDD7BF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119" w:type="pct"/>
          </w:tcPr>
          <w:p w14:paraId="384905B8" w14:textId="77777777" w:rsidR="00CF0BA9" w:rsidRDefault="00CF0BA9" w:rsidP="006F27C9">
            <w:pPr>
              <w:widowControl w:val="0"/>
              <w:spacing w:before="120"/>
              <w:rPr>
                <w:rFonts w:asciiTheme="majorHAnsi" w:hAnsiTheme="majorHAnsi" w:cstheme="majorHAnsi"/>
                <w:noProof/>
              </w:rPr>
            </w:pPr>
          </w:p>
        </w:tc>
        <w:tc>
          <w:tcPr>
            <w:tcW w:w="2423" w:type="pct"/>
          </w:tcPr>
          <w:p w14:paraId="646D4446" w14:textId="77777777" w:rsidR="00CF0BA9" w:rsidRPr="00013A7E" w:rsidRDefault="00CF0BA9" w:rsidP="15E5BA73">
            <w:pPr>
              <w:widowControl w:val="0"/>
              <w:spacing w:before="120"/>
              <w:jc w:val="right"/>
              <w:rPr>
                <w:rFonts w:asciiTheme="majorHAnsi" w:hAnsiTheme="majorHAnsi" w:cstheme="majorBidi"/>
              </w:rPr>
            </w:pPr>
            <w:r w:rsidRPr="00FF5F89">
              <w:rPr>
                <w:rFonts w:asciiTheme="majorHAnsi" w:hAnsiTheme="majorHAnsi" w:cstheme="majorBidi"/>
                <w:noProof/>
              </w:rPr>
              <w:drawing>
                <wp:inline distT="0" distB="0" distL="0" distR="0" wp14:anchorId="11D7B366" wp14:editId="0CD5FDE3">
                  <wp:extent cx="2815714" cy="2794518"/>
                  <wp:effectExtent l="0" t="0" r="3810" b="6350"/>
                  <wp:docPr id="28" name="Picture 28">
                    <a:extLst xmlns:a="http://schemas.openxmlformats.org/drawingml/2006/main">
                      <a:ext uri="{FF2B5EF4-FFF2-40B4-BE49-F238E27FC236}">
                        <a16:creationId xmlns:a16="http://schemas.microsoft.com/office/drawing/2014/main" id="{21499096-2120-8643-613D-ED29BDAC3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499096-2120-8643-613D-ED29BDAC37AE}"/>
                              </a:ext>
                            </a:extLst>
                          </pic:cNvPr>
                          <pic:cNvPicPr>
                            <a:picLocks noChangeAspect="1"/>
                          </pic:cNvPicPr>
                        </pic:nvPicPr>
                        <pic:blipFill>
                          <a:blip r:embed="rId19"/>
                          <a:stretch>
                            <a:fillRect/>
                          </a:stretch>
                        </pic:blipFill>
                        <pic:spPr>
                          <a:xfrm>
                            <a:off x="0" y="0"/>
                            <a:ext cx="2827261" cy="2805978"/>
                          </a:xfrm>
                          <a:prstGeom prst="rect">
                            <a:avLst/>
                          </a:prstGeom>
                        </pic:spPr>
                      </pic:pic>
                    </a:graphicData>
                  </a:graphic>
                </wp:inline>
              </w:drawing>
            </w:r>
          </w:p>
        </w:tc>
      </w:tr>
      <w:tr w:rsidR="00CF0BA9" w:rsidRPr="00E52588" w14:paraId="78D2AEFE" w14:textId="77777777" w:rsidTr="15E5BA73">
        <w:trPr>
          <w:trHeight w:val="710"/>
          <w:jc w:val="center"/>
        </w:trPr>
        <w:tc>
          <w:tcPr>
            <w:tcW w:w="2458" w:type="pct"/>
          </w:tcPr>
          <w:p w14:paraId="2EE994A8" w14:textId="77777777" w:rsidR="00CF0BA9" w:rsidRPr="004A2793" w:rsidRDefault="00CF0BA9" w:rsidP="006F27C9">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 xml:space="preserve">Source: The Provincial Competitiveness Index (PCI) and the Economic Census – General Statistics Office (GSO). </w:t>
            </w:r>
          </w:p>
          <w:p w14:paraId="51F8B9DC" w14:textId="7DD3613B" w:rsidR="00CF0BA9" w:rsidRPr="004A2793" w:rsidRDefault="00CF0BA9" w:rsidP="006F27C9">
            <w:pPr>
              <w:pStyle w:val="ListParagraph"/>
              <w:tabs>
                <w:tab w:val="left" w:pos="450"/>
              </w:tabs>
              <w:ind w:left="0"/>
              <w:contextualSpacing w:val="0"/>
              <w:jc w:val="both"/>
              <w:rPr>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Note: PCI measures the quality of business regulations among 63 provinces for 10 sub-indicators: entry costs, access to land, transparency, minimal informal charges, low bureaucracy, low presence state in private sector, provincial leadership, quality of firm support services, labor training, and dispute resolution; indices vary from 0 (weak) to 100 (high quality regulations).</w:t>
            </w:r>
            <w:r w:rsidR="00760E66" w:rsidRPr="004A2793">
              <w:rPr>
                <w:rStyle w:val="normaltextrun"/>
                <w:rFonts w:asciiTheme="majorHAnsi" w:eastAsia="Arial" w:hAnsiTheme="majorHAnsi" w:cstheme="majorHAnsi"/>
                <w:i/>
                <w:color w:val="7F7F7F" w:themeColor="text1" w:themeTint="80"/>
                <w:sz w:val="18"/>
                <w:szCs w:val="18"/>
              </w:rPr>
              <w:t xml:space="preserve"> PCI is averaged over the </w:t>
            </w:r>
            <w:r w:rsidR="004372BA" w:rsidRPr="004A2793">
              <w:rPr>
                <w:rStyle w:val="normaltextrun"/>
                <w:rFonts w:asciiTheme="majorHAnsi" w:eastAsia="Arial" w:hAnsiTheme="majorHAnsi" w:cstheme="majorHAnsi"/>
                <w:i/>
                <w:color w:val="7F7F7F" w:themeColor="text1" w:themeTint="80"/>
                <w:sz w:val="18"/>
                <w:szCs w:val="18"/>
              </w:rPr>
              <w:t>period 2017-2020</w:t>
            </w:r>
            <w:r w:rsidR="0025421E" w:rsidRPr="004A2793">
              <w:rPr>
                <w:rStyle w:val="normaltextrun"/>
                <w:rFonts w:asciiTheme="majorHAnsi" w:eastAsia="Arial" w:hAnsiTheme="majorHAnsi" w:cstheme="majorHAnsi"/>
                <w:i/>
                <w:color w:val="7F7F7F" w:themeColor="text1" w:themeTint="80"/>
                <w:sz w:val="18"/>
                <w:szCs w:val="18"/>
              </w:rPr>
              <w:t>.</w:t>
            </w:r>
            <w:r w:rsidR="00A02670">
              <w:rPr>
                <w:rStyle w:val="normaltextrun"/>
                <w:rFonts w:asciiTheme="majorHAnsi" w:eastAsia="Arial" w:hAnsiTheme="majorHAnsi" w:cstheme="majorHAnsi"/>
                <w:i/>
                <w:color w:val="7F7F7F" w:themeColor="text1" w:themeTint="80"/>
                <w:sz w:val="18"/>
                <w:szCs w:val="18"/>
              </w:rPr>
              <w:t xml:space="preserve"> </w:t>
            </w:r>
            <w:r w:rsidR="00BC707B" w:rsidRPr="007A48A1">
              <w:rPr>
                <w:rStyle w:val="normaltextrun"/>
                <w:rFonts w:asciiTheme="majorHAnsi" w:eastAsia="Arial" w:hAnsiTheme="majorHAnsi" w:cstheme="majorHAnsi"/>
                <w:i/>
                <w:color w:val="7F7F7F" w:themeColor="text1" w:themeTint="80"/>
                <w:sz w:val="18"/>
                <w:szCs w:val="18"/>
              </w:rPr>
              <w:t xml:space="preserve">Entry rate is the ratio of new entrant firms by </w:t>
            </w:r>
            <w:r w:rsidR="00BC707B">
              <w:rPr>
                <w:rStyle w:val="normaltextrun"/>
                <w:rFonts w:asciiTheme="majorHAnsi" w:eastAsia="Arial" w:hAnsiTheme="majorHAnsi" w:cstheme="majorHAnsi"/>
                <w:i/>
                <w:color w:val="7F7F7F" w:themeColor="text1" w:themeTint="80"/>
                <w:sz w:val="18"/>
                <w:szCs w:val="18"/>
              </w:rPr>
              <w:t>province</w:t>
            </w:r>
            <w:r w:rsidR="00BC707B" w:rsidRPr="007A48A1">
              <w:rPr>
                <w:rStyle w:val="normaltextrun"/>
                <w:rFonts w:asciiTheme="majorHAnsi" w:eastAsia="Arial" w:hAnsiTheme="majorHAnsi" w:cstheme="majorHAnsi"/>
                <w:i/>
                <w:color w:val="7F7F7F" w:themeColor="text1" w:themeTint="80"/>
                <w:sz w:val="18"/>
                <w:szCs w:val="18"/>
              </w:rPr>
              <w:t xml:space="preserve">-year over all firms operating in that </w:t>
            </w:r>
            <w:r w:rsidR="00FC288E">
              <w:rPr>
                <w:rStyle w:val="normaltextrun"/>
                <w:rFonts w:asciiTheme="majorHAnsi" w:eastAsia="Arial" w:hAnsiTheme="majorHAnsi" w:cstheme="majorHAnsi"/>
                <w:i/>
                <w:color w:val="7F7F7F" w:themeColor="text1" w:themeTint="80"/>
                <w:sz w:val="18"/>
                <w:szCs w:val="18"/>
              </w:rPr>
              <w:t>province</w:t>
            </w:r>
            <w:r w:rsidR="00BC707B" w:rsidRPr="007A48A1">
              <w:rPr>
                <w:rStyle w:val="normaltextrun"/>
                <w:rFonts w:asciiTheme="majorHAnsi" w:eastAsia="Arial" w:hAnsiTheme="majorHAnsi" w:cstheme="majorHAnsi"/>
                <w:i/>
                <w:color w:val="7F7F7F" w:themeColor="text1" w:themeTint="80"/>
                <w:sz w:val="18"/>
                <w:szCs w:val="18"/>
              </w:rPr>
              <w:t xml:space="preserve">-year. </w:t>
            </w:r>
            <w:r w:rsidR="00FC288E">
              <w:rPr>
                <w:rStyle w:val="normaltextrun"/>
                <w:rFonts w:asciiTheme="majorHAnsi" w:eastAsia="Arial" w:hAnsiTheme="majorHAnsi" w:cstheme="majorHAnsi"/>
                <w:i/>
                <w:color w:val="7F7F7F" w:themeColor="text1" w:themeTint="80"/>
                <w:sz w:val="18"/>
                <w:szCs w:val="18"/>
              </w:rPr>
              <w:t xml:space="preserve">The </w:t>
            </w:r>
            <w:r w:rsidR="00B85608">
              <w:rPr>
                <w:rStyle w:val="normaltextrun"/>
                <w:rFonts w:asciiTheme="majorHAnsi" w:eastAsia="Arial" w:hAnsiTheme="majorHAnsi" w:cstheme="majorHAnsi"/>
                <w:i/>
                <w:color w:val="7F7F7F" w:themeColor="text1" w:themeTint="80"/>
                <w:sz w:val="18"/>
                <w:szCs w:val="18"/>
              </w:rPr>
              <w:t xml:space="preserve">average </w:t>
            </w:r>
            <w:r w:rsidR="00FC288E">
              <w:rPr>
                <w:rStyle w:val="normaltextrun"/>
                <w:rFonts w:asciiTheme="majorHAnsi" w:eastAsia="Arial" w:hAnsiTheme="majorHAnsi" w:cstheme="majorHAnsi"/>
                <w:i/>
                <w:color w:val="7F7F7F" w:themeColor="text1" w:themeTint="80"/>
                <w:sz w:val="18"/>
                <w:szCs w:val="18"/>
              </w:rPr>
              <w:t xml:space="preserve">entry rate </w:t>
            </w:r>
            <w:r w:rsidR="00B85608">
              <w:rPr>
                <w:rStyle w:val="normaltextrun"/>
                <w:rFonts w:asciiTheme="majorHAnsi" w:eastAsia="Arial" w:hAnsiTheme="majorHAnsi" w:cstheme="majorHAnsi"/>
                <w:i/>
                <w:color w:val="7F7F7F" w:themeColor="text1" w:themeTint="80"/>
                <w:sz w:val="18"/>
                <w:szCs w:val="18"/>
              </w:rPr>
              <w:t xml:space="preserve">in the period of reference is used in the analysis </w:t>
            </w:r>
            <w:r w:rsidR="00BC707B" w:rsidRPr="007A48A1">
              <w:rPr>
                <w:rStyle w:val="normaltextrun"/>
                <w:rFonts w:asciiTheme="majorHAnsi" w:eastAsia="Arial" w:hAnsiTheme="majorHAnsi" w:cstheme="majorHAnsi"/>
                <w:i/>
                <w:color w:val="7F7F7F" w:themeColor="text1" w:themeTint="80"/>
                <w:sz w:val="18"/>
                <w:szCs w:val="18"/>
              </w:rPr>
              <w:t>A firm enters the market in year t if this is its birth year.</w:t>
            </w:r>
          </w:p>
        </w:tc>
        <w:tc>
          <w:tcPr>
            <w:tcW w:w="119" w:type="pct"/>
          </w:tcPr>
          <w:p w14:paraId="4DFF1C0A" w14:textId="77777777" w:rsidR="00CF0BA9" w:rsidRPr="004A2793" w:rsidRDefault="00CF0BA9" w:rsidP="006F27C9">
            <w:pPr>
              <w:pStyle w:val="ListParagraph"/>
              <w:tabs>
                <w:tab w:val="left" w:pos="450"/>
              </w:tabs>
              <w:ind w:left="0"/>
              <w:contextualSpacing w:val="0"/>
              <w:rPr>
                <w:rStyle w:val="normaltextrun"/>
                <w:rFonts w:asciiTheme="majorHAnsi" w:eastAsia="Arial" w:hAnsiTheme="majorHAnsi" w:cstheme="majorHAnsi"/>
                <w:i/>
                <w:color w:val="7F7F7F" w:themeColor="text1" w:themeTint="80"/>
                <w:sz w:val="18"/>
                <w:szCs w:val="18"/>
              </w:rPr>
            </w:pPr>
          </w:p>
        </w:tc>
        <w:tc>
          <w:tcPr>
            <w:tcW w:w="2423" w:type="pct"/>
          </w:tcPr>
          <w:p w14:paraId="4EE393C8" w14:textId="77777777" w:rsidR="00CF0BA9" w:rsidRPr="004A2793" w:rsidRDefault="00CF0BA9" w:rsidP="006F27C9">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Source: OECD FDI Regulatory Restrictiveness Index 2019 by industry and Sectoral FDI database</w:t>
            </w:r>
          </w:p>
          <w:p w14:paraId="0BA94BEE" w14:textId="77777777" w:rsidR="00CF0BA9" w:rsidRPr="004A2793" w:rsidRDefault="00CF0BA9" w:rsidP="006F27C9">
            <w:pPr>
              <w:pStyle w:val="ListParagraph"/>
              <w:tabs>
                <w:tab w:val="left" w:pos="450"/>
              </w:tabs>
              <w:ind w:left="0"/>
              <w:contextualSpacing w:val="0"/>
              <w:jc w:val="both"/>
              <w:rPr>
                <w:rFonts w:asciiTheme="majorHAnsi" w:hAnsiTheme="majorHAnsi" w:cstheme="majorHAnsi"/>
                <w:b/>
                <w:sz w:val="18"/>
                <w:szCs w:val="18"/>
              </w:rPr>
            </w:pPr>
            <w:r w:rsidRPr="004A2793">
              <w:rPr>
                <w:rStyle w:val="normaltextrun"/>
                <w:rFonts w:asciiTheme="majorHAnsi" w:eastAsia="Arial" w:hAnsiTheme="majorHAnsi" w:cstheme="majorHAnsi"/>
                <w:i/>
                <w:color w:val="7F7F7F" w:themeColor="text1" w:themeTint="80"/>
                <w:sz w:val="18"/>
                <w:szCs w:val="18"/>
              </w:rPr>
              <w:t>Note: FDI Regulatory Restrictiveness Score: 0 = no restrictions, 1 = most restricted. FDI Inward Stock is the average between 2014 and 2019 in constant 2018 US$ million as percentage of value added per sector.</w:t>
            </w:r>
          </w:p>
        </w:tc>
      </w:tr>
    </w:tbl>
    <w:p w14:paraId="3C8DC492" w14:textId="77777777" w:rsidR="00CF0BA9" w:rsidRDefault="00CF0BA9" w:rsidP="00CF0BA9"/>
    <w:p w14:paraId="66E436AF" w14:textId="70CCB583" w:rsidR="00D8716F" w:rsidRPr="007A48A1" w:rsidRDefault="00D8716F" w:rsidP="00D8716F">
      <w:pPr>
        <w:autoSpaceDE w:val="0"/>
        <w:autoSpaceDN w:val="0"/>
        <w:adjustRightInd w:val="0"/>
        <w:spacing w:after="0"/>
        <w:jc w:val="both"/>
      </w:pPr>
      <w:r w:rsidRPr="00C52325">
        <w:rPr>
          <w:b/>
          <w:bCs/>
        </w:rPr>
        <w:t>The analysis underscores the imperative of pinpointing regulatory reforms aimed at fostering private investments</w:t>
      </w:r>
      <w:r w:rsidRPr="00C52325">
        <w:rPr>
          <w:rStyle w:val="Strong"/>
        </w:rPr>
        <w:t xml:space="preserve"> </w:t>
      </w:r>
      <w:r w:rsidR="00C57528">
        <w:rPr>
          <w:rStyle w:val="Strong"/>
          <w:color w:val="0E101A"/>
        </w:rPr>
        <w:t>–</w:t>
      </w:r>
      <w:r>
        <w:rPr>
          <w:rStyle w:val="Strong"/>
          <w:color w:val="0E101A"/>
        </w:rPr>
        <w:t xml:space="preserve"> </w:t>
      </w:r>
      <w:r w:rsidR="00104B64">
        <w:rPr>
          <w:rStyle w:val="Strong"/>
          <w:color w:val="0E101A"/>
        </w:rPr>
        <w:t>both</w:t>
      </w:r>
      <w:r w:rsidR="00C57528">
        <w:rPr>
          <w:rStyle w:val="Strong"/>
          <w:color w:val="0E101A"/>
        </w:rPr>
        <w:t xml:space="preserve"> new </w:t>
      </w:r>
      <w:r w:rsidR="00104B64">
        <w:rPr>
          <w:rStyle w:val="Strong"/>
          <w:color w:val="0E101A"/>
        </w:rPr>
        <w:t xml:space="preserve">domestic </w:t>
      </w:r>
      <w:r w:rsidR="00C57528">
        <w:rPr>
          <w:rStyle w:val="Strong"/>
          <w:color w:val="0E101A"/>
        </w:rPr>
        <w:t xml:space="preserve">firms </w:t>
      </w:r>
      <w:r w:rsidR="006B2B9E">
        <w:rPr>
          <w:rStyle w:val="Strong"/>
          <w:color w:val="0E101A"/>
        </w:rPr>
        <w:t>and</w:t>
      </w:r>
      <w:r w:rsidR="00C57528">
        <w:rPr>
          <w:rStyle w:val="Strong"/>
          <w:color w:val="0E101A"/>
        </w:rPr>
        <w:t xml:space="preserve"> </w:t>
      </w:r>
      <w:r w:rsidR="00104B64">
        <w:rPr>
          <w:rStyle w:val="Strong"/>
          <w:color w:val="0E101A"/>
        </w:rPr>
        <w:t xml:space="preserve">FDI </w:t>
      </w:r>
      <w:r w:rsidR="000B5355">
        <w:rPr>
          <w:rStyle w:val="Strong"/>
          <w:color w:val="0E101A"/>
        </w:rPr>
        <w:t>–</w:t>
      </w:r>
      <w:r w:rsidR="00104B64">
        <w:rPr>
          <w:rStyle w:val="Strong"/>
          <w:color w:val="0E101A"/>
        </w:rPr>
        <w:t xml:space="preserve"> </w:t>
      </w:r>
      <w:r w:rsidR="000B5355">
        <w:rPr>
          <w:rStyle w:val="Strong"/>
          <w:color w:val="0E101A"/>
        </w:rPr>
        <w:t xml:space="preserve">as </w:t>
      </w:r>
      <w:r w:rsidRPr="006E36EE">
        <w:rPr>
          <w:rStyle w:val="Strong"/>
          <w:color w:val="0E101A"/>
        </w:rPr>
        <w:t>key engine of long-term growth</w:t>
      </w:r>
      <w:r>
        <w:rPr>
          <w:rStyle w:val="Strong"/>
          <w:color w:val="0E101A"/>
        </w:rPr>
        <w:t xml:space="preserve">. </w:t>
      </w:r>
      <w:r>
        <w:t xml:space="preserve">Evidence shows that higher costs for business start-ups are associated with lower business entry and lower levels of employment and productivity; and that </w:t>
      </w:r>
      <w:r w:rsidRPr="007A48A1">
        <w:t xml:space="preserve">a cumbersome regulatory environment is associated with </w:t>
      </w:r>
      <w:r>
        <w:t>high levels of corruption and informality</w:t>
      </w:r>
      <w:r w:rsidR="006B2B9E">
        <w:rPr>
          <w:rStyle w:val="FootnoteReference"/>
        </w:rPr>
        <w:footnoteReference w:id="25"/>
      </w:r>
      <w:r>
        <w:t>. In the USA, for example, m</w:t>
      </w:r>
      <w:r w:rsidRPr="002633B0">
        <w:t xml:space="preserve">ore-regulated industries experienced fewer new firm births and slower employment growth in the period 1998 to 2011. </w:t>
      </w:r>
      <w:r>
        <w:t xml:space="preserve">Moreover, </w:t>
      </w:r>
      <w:r w:rsidRPr="002633B0">
        <w:t xml:space="preserve">regulations </w:t>
      </w:r>
      <w:r>
        <w:t xml:space="preserve">have been found to </w:t>
      </w:r>
      <w:r w:rsidRPr="002633B0">
        <w:t>inhibit employment growth in small firms more than in large firms</w:t>
      </w:r>
      <w:r w:rsidR="00B371DC">
        <w:t>.</w:t>
      </w:r>
      <w:r w:rsidR="006B2B9E">
        <w:rPr>
          <w:rStyle w:val="FootnoteReference"/>
        </w:rPr>
        <w:footnoteReference w:id="26"/>
      </w:r>
      <w:r w:rsidRPr="002633B0">
        <w:t xml:space="preserve"> </w:t>
      </w:r>
      <w:r>
        <w:t>In Japan, c</w:t>
      </w:r>
      <w:r w:rsidRPr="006E36EE">
        <w:t>ompl</w:t>
      </w:r>
      <w:r>
        <w:t xml:space="preserve">iance </w:t>
      </w:r>
      <w:r w:rsidRPr="006E36EE">
        <w:t xml:space="preserve">with rules and regulations account for </w:t>
      </w:r>
      <w:r>
        <w:t xml:space="preserve">more than 20 percent of </w:t>
      </w:r>
      <w:r w:rsidRPr="006E36EE">
        <w:t>total labor input</w:t>
      </w:r>
      <w:r>
        <w:t xml:space="preserve">. </w:t>
      </w:r>
      <w:r w:rsidRPr="006E36EE">
        <w:t>If these costs</w:t>
      </w:r>
      <w:r>
        <w:t xml:space="preserve"> </w:t>
      </w:r>
      <w:r w:rsidRPr="006E36EE">
        <w:t>were halved, overall economic productivity would increase by about 8</w:t>
      </w:r>
      <w:r>
        <w:t xml:space="preserve"> percent</w:t>
      </w:r>
      <w:r w:rsidR="006B2B9E">
        <w:rPr>
          <w:rStyle w:val="FootnoteReference"/>
        </w:rPr>
        <w:footnoteReference w:id="27"/>
      </w:r>
      <w:r w:rsidRPr="006E36EE">
        <w:t>.</w:t>
      </w:r>
      <w:r>
        <w:t xml:space="preserve"> Cumbersome business </w:t>
      </w:r>
      <w:r>
        <w:lastRenderedPageBreak/>
        <w:t xml:space="preserve">environment is also detrimental for firm resilience, </w:t>
      </w:r>
      <w:r w:rsidRPr="007A48A1">
        <w:t>as shown during the COVID-19 crisis</w:t>
      </w:r>
      <w:r w:rsidR="009E6CD8">
        <w:t>.</w:t>
      </w:r>
      <w:r w:rsidR="006B2B9E">
        <w:rPr>
          <w:rStyle w:val="FootnoteReference"/>
        </w:rPr>
        <w:footnoteReference w:id="28"/>
      </w:r>
      <w:r w:rsidRPr="007A48A1">
        <w:t xml:space="preserve"> On the other hand, empirical evidence using cross-countries analysis shows a positive </w:t>
      </w:r>
      <w:r w:rsidRPr="006E36EE">
        <w:t>impact of business regulatory reforms on economic growth rates</w:t>
      </w:r>
      <w:r>
        <w:t xml:space="preserve"> over the 2006-2010 period</w:t>
      </w:r>
      <w:r w:rsidR="009E6CD8">
        <w:t>.</w:t>
      </w:r>
      <w:r w:rsidR="001644BC">
        <w:rPr>
          <w:rStyle w:val="FootnoteReference"/>
        </w:rPr>
        <w:footnoteReference w:id="29"/>
      </w:r>
    </w:p>
    <w:p w14:paraId="1034365C" w14:textId="108F9B8D" w:rsidR="00CF0BA9" w:rsidRPr="006329A1" w:rsidRDefault="0080126C" w:rsidP="003D5586">
      <w:pPr>
        <w:pStyle w:val="ListParagraph"/>
        <w:tabs>
          <w:tab w:val="left" w:pos="450"/>
        </w:tabs>
        <w:spacing w:before="240" w:after="0"/>
        <w:ind w:left="0"/>
        <w:contextualSpacing w:val="0"/>
        <w:jc w:val="both"/>
        <w:rPr>
          <w:b/>
          <w:bCs/>
        </w:rPr>
      </w:pPr>
      <w:r>
        <w:rPr>
          <w:b/>
          <w:bCs/>
        </w:rPr>
        <w:t>I</w:t>
      </w:r>
      <w:r w:rsidR="00016207">
        <w:rPr>
          <w:b/>
          <w:bCs/>
        </w:rPr>
        <w:t>mproved</w:t>
      </w:r>
      <w:r w:rsidR="00826827">
        <w:rPr>
          <w:b/>
          <w:bCs/>
        </w:rPr>
        <w:t xml:space="preserve"> regulatory </w:t>
      </w:r>
      <w:r w:rsidR="00693AA2">
        <w:rPr>
          <w:b/>
          <w:bCs/>
        </w:rPr>
        <w:t xml:space="preserve">framework is </w:t>
      </w:r>
      <w:r w:rsidR="001E732F">
        <w:rPr>
          <w:b/>
          <w:bCs/>
        </w:rPr>
        <w:t>crucial</w:t>
      </w:r>
      <w:r w:rsidR="004918AC">
        <w:rPr>
          <w:b/>
          <w:bCs/>
        </w:rPr>
        <w:t xml:space="preserve"> </w:t>
      </w:r>
      <w:r w:rsidR="00BF071E">
        <w:rPr>
          <w:b/>
          <w:bCs/>
        </w:rPr>
        <w:t xml:space="preserve">for productivity growth </w:t>
      </w:r>
      <w:r w:rsidR="004918AC">
        <w:rPr>
          <w:b/>
          <w:bCs/>
        </w:rPr>
        <w:t xml:space="preserve">as better </w:t>
      </w:r>
      <w:r w:rsidR="004A29CB">
        <w:rPr>
          <w:b/>
          <w:bCs/>
        </w:rPr>
        <w:t>business regulations are</w:t>
      </w:r>
      <w:r w:rsidR="00CF0BA9" w:rsidRPr="006329A1">
        <w:rPr>
          <w:b/>
          <w:bCs/>
        </w:rPr>
        <w:t xml:space="preserve"> </w:t>
      </w:r>
      <w:r w:rsidR="00820C8D">
        <w:rPr>
          <w:b/>
          <w:bCs/>
        </w:rPr>
        <w:t>associate</w:t>
      </w:r>
      <w:r w:rsidR="00321AB5">
        <w:rPr>
          <w:b/>
          <w:bCs/>
        </w:rPr>
        <w:t>d</w:t>
      </w:r>
      <w:r w:rsidR="00820C8D">
        <w:rPr>
          <w:b/>
          <w:bCs/>
        </w:rPr>
        <w:t xml:space="preserve"> with higher </w:t>
      </w:r>
      <w:r w:rsidR="00CF0BA9" w:rsidRPr="006329A1">
        <w:rPr>
          <w:b/>
          <w:bCs/>
        </w:rPr>
        <w:t>innovation.</w:t>
      </w:r>
      <w:r w:rsidR="00EA4A37">
        <w:rPr>
          <w:rStyle w:val="FootnoteReference"/>
          <w:b/>
          <w:bCs/>
        </w:rPr>
        <w:footnoteReference w:id="30"/>
      </w:r>
      <w:r w:rsidR="00CF0BA9" w:rsidRPr="006329A1">
        <w:rPr>
          <w:b/>
          <w:bCs/>
        </w:rPr>
        <w:t xml:space="preserve"> </w:t>
      </w:r>
      <w:r w:rsidR="00E454A1" w:rsidRPr="004A2793">
        <w:t xml:space="preserve">Well-designed regulations that provide a transparent and conducive business environment can stimulate innovation by fostering competition, protecting intellectual property rights, and ensuring fair market practices. However, overly burdensome or ambiguous regulations may stifle innovation by creating barriers to entry, increasing compliance costs, and deterring risk-taking among entrepreneurs and businesses. Striking the right balance between regulatory oversight and innovation is crucial for fostering a dynamic and competitive business landscape that drives economic growth. </w:t>
      </w:r>
      <w:r w:rsidR="002263A4">
        <w:t xml:space="preserve">The </w:t>
      </w:r>
      <w:r w:rsidR="00E24229">
        <w:t xml:space="preserve">positive role of </w:t>
      </w:r>
      <w:r w:rsidR="002C09B0">
        <w:t xml:space="preserve">streamlined regulations </w:t>
      </w:r>
      <w:r w:rsidR="002263A4">
        <w:t xml:space="preserve">for innovation is </w:t>
      </w:r>
      <w:r w:rsidR="002C09B0">
        <w:t xml:space="preserve">shown in </w:t>
      </w:r>
      <w:r w:rsidR="00112F21">
        <w:t>Figure 8</w:t>
      </w:r>
      <w:r w:rsidR="00F84594">
        <w:t xml:space="preserve"> </w:t>
      </w:r>
      <w:r w:rsidR="00720C92">
        <w:t>and</w:t>
      </w:r>
      <w:r w:rsidR="00F55A8A">
        <w:t xml:space="preserve"> </w:t>
      </w:r>
      <w:r w:rsidR="00112F21">
        <w:t>Figure 8</w:t>
      </w:r>
      <w:r w:rsidR="00F55A8A">
        <w:t xml:space="preserve">b </w:t>
      </w:r>
      <w:r w:rsidR="00EC2E7D">
        <w:t xml:space="preserve">which </w:t>
      </w:r>
      <w:r w:rsidR="00903240">
        <w:t>illustrate</w:t>
      </w:r>
      <w:r w:rsidR="00CF0BA9">
        <w:t xml:space="preserve"> </w:t>
      </w:r>
      <w:r w:rsidR="00CF0BA9" w:rsidRPr="006329A1">
        <w:t xml:space="preserve">a </w:t>
      </w:r>
      <w:r w:rsidR="008E7711">
        <w:t>signific</w:t>
      </w:r>
      <w:r w:rsidR="003D37C4">
        <w:t xml:space="preserve">ant </w:t>
      </w:r>
      <w:r w:rsidR="00CF0BA9" w:rsidRPr="006329A1">
        <w:t xml:space="preserve">negative correlation between the number of days </w:t>
      </w:r>
      <w:r w:rsidR="00903240">
        <w:t xml:space="preserve">needed </w:t>
      </w:r>
      <w:r w:rsidR="00CF0BA9" w:rsidRPr="006329A1">
        <w:t>to obtain an operating license and the R&amp;D spending or the introduction of a process innovation</w:t>
      </w:r>
      <w:r w:rsidR="005447E4">
        <w:t>; the lower the waiting time the higher the innovation rates</w:t>
      </w:r>
      <w:r w:rsidR="00CF0BA9" w:rsidRPr="006329A1">
        <w:t>.</w:t>
      </w:r>
      <w:r w:rsidR="00B10C7E">
        <w:t xml:space="preserve"> </w:t>
      </w:r>
    </w:p>
    <w:p w14:paraId="73C49C2F" w14:textId="66346828" w:rsidR="00CF0BA9" w:rsidRPr="004A2793" w:rsidRDefault="00CF0BA9" w:rsidP="004A2793">
      <w:pPr>
        <w:pStyle w:val="Caption"/>
        <w:keepNext/>
        <w:spacing w:before="240" w:after="0"/>
        <w:jc w:val="both"/>
        <w:rPr>
          <w:rFonts w:cstheme="minorHAnsi"/>
          <w:sz w:val="20"/>
          <w:szCs w:val="20"/>
        </w:rPr>
      </w:pPr>
      <w:r w:rsidRPr="004A2793">
        <w:rPr>
          <w:rFonts w:asciiTheme="minorHAnsi" w:hAnsiTheme="minorHAnsi" w:cstheme="minorHAnsi"/>
          <w:sz w:val="20"/>
          <w:szCs w:val="20"/>
        </w:rPr>
        <w:t xml:space="preserve">Figure </w:t>
      </w:r>
      <w:r w:rsidR="00112F21">
        <w:rPr>
          <w:rFonts w:asciiTheme="minorHAnsi" w:hAnsiTheme="minorHAnsi" w:cstheme="minorHAnsi"/>
          <w:sz w:val="20"/>
          <w:szCs w:val="20"/>
        </w:rPr>
        <w:t>8</w:t>
      </w:r>
      <w:r w:rsidRPr="004A2793">
        <w:rPr>
          <w:rFonts w:asciiTheme="minorHAnsi" w:hAnsiTheme="minorHAnsi" w:cstheme="minorHAnsi"/>
          <w:sz w:val="20"/>
          <w:szCs w:val="20"/>
        </w:rPr>
        <w:t>. The likelihood of innovation decreases as firms wait longer to obtain an operating license.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6"/>
        <w:gridCol w:w="222"/>
        <w:gridCol w:w="123"/>
        <w:gridCol w:w="4295"/>
      </w:tblGrid>
      <w:tr w:rsidR="00CF0BA9" w:rsidRPr="003F6C71" w14:paraId="100CE760" w14:textId="77777777" w:rsidTr="00E8781E">
        <w:trPr>
          <w:jc w:val="center"/>
        </w:trPr>
        <w:tc>
          <w:tcPr>
            <w:tcW w:w="2529" w:type="pct"/>
            <w:gridSpan w:val="2"/>
          </w:tcPr>
          <w:p w14:paraId="58A8BF38" w14:textId="7C7B8AFD" w:rsidR="00CF0BA9" w:rsidRPr="004A2793" w:rsidRDefault="00CF0BA9" w:rsidP="004A2793">
            <w:pPr>
              <w:pStyle w:val="Caption"/>
              <w:keepNext/>
              <w:spacing w:before="120" w:after="0"/>
              <w:jc w:val="both"/>
              <w:rPr>
                <w:rFonts w:asciiTheme="minorHAnsi" w:eastAsiaTheme="majorEastAsia" w:hAnsiTheme="minorHAnsi" w:cstheme="minorHAnsi"/>
                <w:color w:val="2F5496" w:themeColor="accent1" w:themeShade="BF"/>
                <w:sz w:val="20"/>
                <w:szCs w:val="20"/>
              </w:rPr>
            </w:pPr>
            <w:r w:rsidRPr="004A2793">
              <w:rPr>
                <w:rFonts w:asciiTheme="minorHAnsi" w:eastAsiaTheme="majorEastAsia" w:hAnsiTheme="minorHAnsi" w:cstheme="minorHAnsi"/>
                <w:b w:val="0"/>
                <w:color w:val="2F5496" w:themeColor="accent1" w:themeShade="BF"/>
                <w:sz w:val="20"/>
                <w:szCs w:val="20"/>
              </w:rPr>
              <w:t xml:space="preserve">a. </w:t>
            </w:r>
            <w:r w:rsidR="007377AA">
              <w:rPr>
                <w:rFonts w:asciiTheme="minorHAnsi" w:eastAsiaTheme="majorEastAsia" w:hAnsiTheme="minorHAnsi" w:cstheme="minorHAnsi"/>
                <w:b w:val="0"/>
                <w:bCs w:val="0"/>
                <w:color w:val="2F5496" w:themeColor="accent1" w:themeShade="BF"/>
                <w:sz w:val="20"/>
                <w:szCs w:val="20"/>
              </w:rPr>
              <w:t xml:space="preserve">Correlations </w:t>
            </w:r>
            <w:r w:rsidR="00AA2E40">
              <w:rPr>
                <w:rFonts w:asciiTheme="minorHAnsi" w:eastAsiaTheme="majorEastAsia" w:hAnsiTheme="minorHAnsi" w:cstheme="minorHAnsi"/>
                <w:b w:val="0"/>
                <w:bCs w:val="0"/>
                <w:color w:val="2F5496" w:themeColor="accent1" w:themeShade="BF"/>
                <w:sz w:val="20"/>
                <w:szCs w:val="20"/>
              </w:rPr>
              <w:t xml:space="preserve">between </w:t>
            </w:r>
            <w:r w:rsidRPr="004A2793">
              <w:rPr>
                <w:rFonts w:asciiTheme="minorHAnsi" w:eastAsiaTheme="majorEastAsia" w:hAnsiTheme="minorHAnsi" w:cstheme="minorHAnsi"/>
                <w:b w:val="0"/>
                <w:color w:val="2F5496" w:themeColor="accent1" w:themeShade="BF"/>
                <w:sz w:val="20"/>
                <w:szCs w:val="20"/>
              </w:rPr>
              <w:t xml:space="preserve">process innovation </w:t>
            </w:r>
            <w:r>
              <w:rPr>
                <w:rFonts w:asciiTheme="minorHAnsi" w:eastAsiaTheme="majorEastAsia" w:hAnsiTheme="minorHAnsi" w:cstheme="minorHAnsi"/>
                <w:b w:val="0"/>
                <w:color w:val="2F5496" w:themeColor="accent1" w:themeShade="BF"/>
                <w:sz w:val="20"/>
                <w:szCs w:val="20"/>
              </w:rPr>
              <w:t xml:space="preserve">and </w:t>
            </w:r>
            <w:r w:rsidR="00AA2E40">
              <w:rPr>
                <w:rFonts w:asciiTheme="minorHAnsi" w:eastAsiaTheme="majorEastAsia" w:hAnsiTheme="minorHAnsi" w:cstheme="minorHAnsi"/>
                <w:b w:val="0"/>
                <w:bCs w:val="0"/>
                <w:color w:val="2F5496" w:themeColor="accent1" w:themeShade="BF"/>
                <w:sz w:val="20"/>
                <w:szCs w:val="20"/>
              </w:rPr>
              <w:t xml:space="preserve">business </w:t>
            </w:r>
            <w:r w:rsidR="00000B0B">
              <w:rPr>
                <w:rFonts w:asciiTheme="minorHAnsi" w:eastAsiaTheme="majorEastAsia" w:hAnsiTheme="minorHAnsi" w:cstheme="minorHAnsi"/>
                <w:b w:val="0"/>
                <w:bCs w:val="0"/>
                <w:color w:val="2F5496" w:themeColor="accent1" w:themeShade="BF"/>
                <w:sz w:val="20"/>
                <w:szCs w:val="20"/>
              </w:rPr>
              <w:t>regulations</w:t>
            </w:r>
            <w:r w:rsidRPr="004A2793">
              <w:rPr>
                <w:rFonts w:asciiTheme="minorHAnsi" w:eastAsiaTheme="majorEastAsia" w:hAnsiTheme="minorHAnsi" w:cstheme="minorHAnsi"/>
                <w:b w:val="0"/>
                <w:color w:val="2F5496" w:themeColor="accent1" w:themeShade="BF"/>
                <w:sz w:val="20"/>
                <w:szCs w:val="20"/>
              </w:rPr>
              <w:t xml:space="preserve"> </w:t>
            </w:r>
          </w:p>
        </w:tc>
        <w:tc>
          <w:tcPr>
            <w:tcW w:w="123" w:type="pct"/>
          </w:tcPr>
          <w:p w14:paraId="5CBCA2D4" w14:textId="77777777" w:rsidR="00CF0BA9" w:rsidRPr="004A2793" w:rsidRDefault="00CF0BA9" w:rsidP="004A2793">
            <w:pPr>
              <w:pStyle w:val="Caption"/>
              <w:keepNext/>
              <w:spacing w:before="120" w:after="0"/>
              <w:jc w:val="both"/>
              <w:rPr>
                <w:rFonts w:asciiTheme="minorHAnsi" w:eastAsiaTheme="majorEastAsia" w:hAnsiTheme="minorHAnsi" w:cstheme="minorHAnsi"/>
                <w:b w:val="0"/>
                <w:color w:val="2F5496" w:themeColor="accent1" w:themeShade="BF"/>
                <w:sz w:val="20"/>
                <w:szCs w:val="20"/>
              </w:rPr>
            </w:pPr>
          </w:p>
        </w:tc>
        <w:tc>
          <w:tcPr>
            <w:tcW w:w="2348" w:type="pct"/>
            <w:gridSpan w:val="2"/>
          </w:tcPr>
          <w:p w14:paraId="4BBF96E7" w14:textId="75022834" w:rsidR="00CF0BA9" w:rsidRPr="004A2793" w:rsidRDefault="00CF0BA9" w:rsidP="004A2793">
            <w:pPr>
              <w:pStyle w:val="Caption"/>
              <w:keepNext/>
              <w:spacing w:before="120" w:after="0"/>
              <w:jc w:val="both"/>
              <w:rPr>
                <w:rFonts w:asciiTheme="minorHAnsi" w:eastAsiaTheme="majorEastAsia" w:hAnsiTheme="minorHAnsi" w:cstheme="minorHAnsi"/>
                <w:color w:val="2F5496" w:themeColor="accent1" w:themeShade="BF"/>
                <w:sz w:val="20"/>
                <w:szCs w:val="20"/>
              </w:rPr>
            </w:pPr>
            <w:r w:rsidRPr="004A2793">
              <w:rPr>
                <w:rFonts w:asciiTheme="minorHAnsi" w:eastAsiaTheme="majorEastAsia" w:hAnsiTheme="minorHAnsi" w:cstheme="minorHAnsi"/>
                <w:b w:val="0"/>
                <w:color w:val="2F5496" w:themeColor="accent1" w:themeShade="BF"/>
                <w:sz w:val="20"/>
                <w:szCs w:val="20"/>
              </w:rPr>
              <w:t xml:space="preserve">b. </w:t>
            </w:r>
            <w:r w:rsidR="00000B0B">
              <w:rPr>
                <w:rFonts w:asciiTheme="minorHAnsi" w:eastAsiaTheme="majorEastAsia" w:hAnsiTheme="minorHAnsi" w:cstheme="minorHAnsi"/>
                <w:b w:val="0"/>
                <w:bCs w:val="0"/>
                <w:color w:val="2F5496" w:themeColor="accent1" w:themeShade="BF"/>
                <w:sz w:val="20"/>
                <w:szCs w:val="20"/>
              </w:rPr>
              <w:t>Correlations</w:t>
            </w:r>
            <w:r w:rsidRPr="004A2793">
              <w:rPr>
                <w:rFonts w:asciiTheme="minorHAnsi" w:eastAsiaTheme="majorEastAsia" w:hAnsiTheme="minorHAnsi" w:cstheme="minorHAnsi"/>
                <w:b w:val="0"/>
                <w:color w:val="2F5496" w:themeColor="accent1" w:themeShade="BF"/>
                <w:sz w:val="20"/>
                <w:szCs w:val="20"/>
              </w:rPr>
              <w:t xml:space="preserve"> </w:t>
            </w:r>
            <w:r w:rsidR="001F3E68">
              <w:rPr>
                <w:rFonts w:asciiTheme="minorHAnsi" w:eastAsiaTheme="majorEastAsia" w:hAnsiTheme="minorHAnsi" w:cstheme="minorHAnsi"/>
                <w:b w:val="0"/>
                <w:bCs w:val="0"/>
                <w:color w:val="2F5496" w:themeColor="accent1" w:themeShade="BF"/>
                <w:sz w:val="20"/>
                <w:szCs w:val="20"/>
              </w:rPr>
              <w:t xml:space="preserve">between </w:t>
            </w:r>
            <w:r w:rsidR="00000B0B">
              <w:rPr>
                <w:rFonts w:asciiTheme="minorHAnsi" w:eastAsiaTheme="majorEastAsia" w:hAnsiTheme="minorHAnsi" w:cstheme="minorHAnsi"/>
                <w:b w:val="0"/>
                <w:bCs w:val="0"/>
                <w:color w:val="2F5496" w:themeColor="accent1" w:themeShade="BF"/>
                <w:sz w:val="20"/>
                <w:szCs w:val="20"/>
              </w:rPr>
              <w:t>r</w:t>
            </w:r>
            <w:r w:rsidRPr="004A2793">
              <w:rPr>
                <w:rFonts w:asciiTheme="minorHAnsi" w:eastAsiaTheme="majorEastAsia" w:hAnsiTheme="minorHAnsi" w:cstheme="minorHAnsi"/>
                <w:b w:val="0"/>
                <w:color w:val="2F5496" w:themeColor="accent1" w:themeShade="BF"/>
                <w:sz w:val="20"/>
                <w:szCs w:val="20"/>
              </w:rPr>
              <w:t xml:space="preserve">esearch and development and </w:t>
            </w:r>
            <w:r w:rsidR="001F3E68">
              <w:rPr>
                <w:rFonts w:asciiTheme="minorHAnsi" w:eastAsiaTheme="majorEastAsia" w:hAnsiTheme="minorHAnsi" w:cstheme="minorHAnsi"/>
                <w:b w:val="0"/>
                <w:bCs w:val="0"/>
                <w:color w:val="2F5496" w:themeColor="accent1" w:themeShade="BF"/>
                <w:sz w:val="20"/>
                <w:szCs w:val="20"/>
              </w:rPr>
              <w:t>business regulations</w:t>
            </w:r>
            <w:r w:rsidR="001F3E68" w:rsidRPr="006E36EE">
              <w:rPr>
                <w:rFonts w:asciiTheme="minorHAnsi" w:eastAsiaTheme="majorEastAsia" w:hAnsiTheme="minorHAnsi" w:cstheme="minorHAnsi"/>
                <w:b w:val="0"/>
                <w:bCs w:val="0"/>
                <w:color w:val="2F5496" w:themeColor="accent1" w:themeShade="BF"/>
                <w:sz w:val="20"/>
                <w:szCs w:val="20"/>
              </w:rPr>
              <w:t xml:space="preserve"> </w:t>
            </w:r>
          </w:p>
        </w:tc>
      </w:tr>
      <w:tr w:rsidR="00CF0BA9" w:rsidRPr="00013A7E" w14:paraId="4268793C" w14:textId="77777777" w:rsidTr="004A2793">
        <w:trPr>
          <w:trHeight w:val="2385"/>
          <w:jc w:val="center"/>
        </w:trPr>
        <w:tc>
          <w:tcPr>
            <w:tcW w:w="2529" w:type="pct"/>
            <w:gridSpan w:val="2"/>
          </w:tcPr>
          <w:p w14:paraId="5A14FDFA" w14:textId="2C520954" w:rsidR="00CF0BA9" w:rsidRPr="00013A7E" w:rsidRDefault="00A90BA2" w:rsidP="006F27C9">
            <w:pPr>
              <w:widowControl w:val="0"/>
              <w:spacing w:before="120"/>
              <w:rPr>
                <w:rFonts w:asciiTheme="majorHAnsi" w:hAnsiTheme="majorHAnsi" w:cstheme="majorBidi"/>
              </w:rPr>
            </w:pPr>
            <w:r w:rsidRPr="00A90BA2">
              <w:rPr>
                <w:rFonts w:asciiTheme="majorHAnsi" w:hAnsiTheme="majorHAnsi" w:cstheme="majorBidi"/>
                <w:noProof/>
              </w:rPr>
              <w:drawing>
                <wp:inline distT="0" distB="0" distL="0" distR="0" wp14:anchorId="06FAB435" wp14:editId="667D5240">
                  <wp:extent cx="2941674" cy="182878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9653" cy="1833743"/>
                          </a:xfrm>
                          <a:prstGeom prst="rect">
                            <a:avLst/>
                          </a:prstGeom>
                        </pic:spPr>
                      </pic:pic>
                    </a:graphicData>
                  </a:graphic>
                </wp:inline>
              </w:drawing>
            </w:r>
          </w:p>
        </w:tc>
        <w:tc>
          <w:tcPr>
            <w:tcW w:w="123" w:type="pct"/>
          </w:tcPr>
          <w:p w14:paraId="7260512F" w14:textId="77777777" w:rsidR="00CF0BA9" w:rsidRDefault="00CF0BA9" w:rsidP="006F27C9">
            <w:pPr>
              <w:widowControl w:val="0"/>
              <w:spacing w:before="120"/>
              <w:rPr>
                <w:rFonts w:asciiTheme="majorHAnsi" w:hAnsiTheme="majorHAnsi" w:cstheme="majorHAnsi"/>
                <w:noProof/>
              </w:rPr>
            </w:pPr>
          </w:p>
        </w:tc>
        <w:tc>
          <w:tcPr>
            <w:tcW w:w="2348" w:type="pct"/>
            <w:gridSpan w:val="2"/>
          </w:tcPr>
          <w:p w14:paraId="74177175" w14:textId="0EA83851" w:rsidR="00CF0BA9" w:rsidRPr="00013A7E" w:rsidRDefault="00313C9E" w:rsidP="006F27C9">
            <w:pPr>
              <w:widowControl w:val="0"/>
              <w:spacing w:before="120"/>
              <w:jc w:val="right"/>
              <w:rPr>
                <w:rFonts w:asciiTheme="majorHAnsi" w:hAnsiTheme="majorHAnsi" w:cstheme="majorBidi"/>
              </w:rPr>
            </w:pPr>
            <w:r>
              <w:rPr>
                <w:rFonts w:asciiTheme="majorHAnsi" w:hAnsiTheme="majorHAnsi" w:cstheme="majorBidi"/>
                <w:noProof/>
              </w:rPr>
              <w:drawing>
                <wp:inline distT="0" distB="0" distL="0" distR="0" wp14:anchorId="1F684931" wp14:editId="3F5C39C5">
                  <wp:extent cx="2736112" cy="179189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0870" cy="1795007"/>
                          </a:xfrm>
                          <a:prstGeom prst="rect">
                            <a:avLst/>
                          </a:prstGeom>
                          <a:noFill/>
                        </pic:spPr>
                      </pic:pic>
                    </a:graphicData>
                  </a:graphic>
                </wp:inline>
              </w:drawing>
            </w:r>
          </w:p>
        </w:tc>
      </w:tr>
      <w:tr w:rsidR="00CF0BA9" w:rsidRPr="00E52588" w14:paraId="3A4EBF23" w14:textId="77777777" w:rsidTr="004A2793">
        <w:trPr>
          <w:trHeight w:val="1341"/>
          <w:jc w:val="center"/>
        </w:trPr>
        <w:tc>
          <w:tcPr>
            <w:tcW w:w="2529" w:type="pct"/>
            <w:gridSpan w:val="2"/>
          </w:tcPr>
          <w:p w14:paraId="3CFFC3A5" w14:textId="77777777" w:rsidR="00CF0BA9" w:rsidRPr="004A2793" w:rsidRDefault="00CF0BA9" w:rsidP="006F27C9">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 xml:space="preserve">Source: </w:t>
            </w:r>
            <w:r w:rsidRPr="004A2793">
              <w:rPr>
                <w:rFonts w:asciiTheme="majorHAnsi" w:eastAsia="Arial" w:hAnsiTheme="majorHAnsi" w:cstheme="majorHAnsi"/>
                <w:i/>
                <w:color w:val="7F7F7F" w:themeColor="text1" w:themeTint="80"/>
                <w:sz w:val="18"/>
                <w:szCs w:val="18"/>
              </w:rPr>
              <w:t>WBES. The analysis leverages the WBES DECIG-ETIIC tool developed by the ICA 2.0 project.</w:t>
            </w:r>
          </w:p>
          <w:p w14:paraId="3B016A68" w14:textId="31496E1E" w:rsidR="00CF0BA9" w:rsidRPr="004A2793" w:rsidRDefault="00CF0BA9" w:rsidP="006F27C9">
            <w:pPr>
              <w:pStyle w:val="ListParagraph"/>
              <w:tabs>
                <w:tab w:val="left" w:pos="450"/>
              </w:tabs>
              <w:ind w:left="0"/>
              <w:contextualSpacing w:val="0"/>
              <w:jc w:val="both"/>
              <w:rPr>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 xml:space="preserve">Note: </w:t>
            </w:r>
            <w:r w:rsidR="003918DA" w:rsidRPr="004A2793">
              <w:rPr>
                <w:rStyle w:val="normaltextrun"/>
                <w:rFonts w:asciiTheme="majorHAnsi" w:eastAsia="Arial" w:hAnsiTheme="majorHAnsi" w:cstheme="majorHAnsi"/>
                <w:i/>
                <w:color w:val="7F7F7F" w:themeColor="text1" w:themeTint="80"/>
                <w:sz w:val="18"/>
                <w:szCs w:val="18"/>
              </w:rPr>
              <w:t>Each bar represents the coefficient of the variable of interest on a linear regression model with a binary dependent variable equals 1 if the firm introduced a process innovation, 0, otherwise. All regressions account for firm size, sector, location fixed effects, and firm age.</w:t>
            </w:r>
          </w:p>
        </w:tc>
        <w:tc>
          <w:tcPr>
            <w:tcW w:w="123" w:type="pct"/>
          </w:tcPr>
          <w:p w14:paraId="405BECFA" w14:textId="77777777" w:rsidR="00CF0BA9" w:rsidRPr="004A2793" w:rsidRDefault="00CF0BA9" w:rsidP="006F27C9">
            <w:pPr>
              <w:pStyle w:val="ListParagraph"/>
              <w:tabs>
                <w:tab w:val="left" w:pos="450"/>
              </w:tabs>
              <w:ind w:left="0"/>
              <w:contextualSpacing w:val="0"/>
              <w:rPr>
                <w:rStyle w:val="normaltextrun"/>
                <w:rFonts w:asciiTheme="majorHAnsi" w:eastAsia="Arial" w:hAnsiTheme="majorHAnsi" w:cstheme="majorHAnsi"/>
                <w:i/>
                <w:color w:val="7F7F7F" w:themeColor="text1" w:themeTint="80"/>
                <w:sz w:val="18"/>
                <w:szCs w:val="18"/>
              </w:rPr>
            </w:pPr>
          </w:p>
        </w:tc>
        <w:tc>
          <w:tcPr>
            <w:tcW w:w="2348" w:type="pct"/>
            <w:gridSpan w:val="2"/>
          </w:tcPr>
          <w:p w14:paraId="219EFA74" w14:textId="77777777" w:rsidR="00CF0BA9" w:rsidRPr="004A2793" w:rsidRDefault="00CF0BA9" w:rsidP="006F27C9">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 xml:space="preserve">Source: </w:t>
            </w:r>
            <w:r w:rsidRPr="004A2793">
              <w:rPr>
                <w:rFonts w:asciiTheme="majorHAnsi" w:eastAsia="Arial" w:hAnsiTheme="majorHAnsi" w:cstheme="majorHAnsi"/>
                <w:i/>
                <w:color w:val="7F7F7F" w:themeColor="text1" w:themeTint="80"/>
                <w:sz w:val="18"/>
                <w:szCs w:val="18"/>
              </w:rPr>
              <w:t>WBES. The analysis leverages the WBES DECIG-ETIIC tool developed by the ICA 2.0 project.</w:t>
            </w:r>
          </w:p>
          <w:p w14:paraId="6AFB007E" w14:textId="381601B3" w:rsidR="00CF0BA9" w:rsidRPr="004A2793" w:rsidRDefault="00CF0BA9" w:rsidP="006F27C9">
            <w:pPr>
              <w:pStyle w:val="ListParagraph"/>
              <w:tabs>
                <w:tab w:val="left" w:pos="450"/>
              </w:tabs>
              <w:ind w:left="0"/>
              <w:contextualSpacing w:val="0"/>
              <w:jc w:val="both"/>
              <w:rPr>
                <w:rFonts w:asciiTheme="majorHAnsi" w:hAnsiTheme="majorHAnsi" w:cstheme="majorHAnsi"/>
                <w:b/>
                <w:sz w:val="18"/>
                <w:szCs w:val="18"/>
              </w:rPr>
            </w:pPr>
            <w:r w:rsidRPr="004A2793">
              <w:rPr>
                <w:rStyle w:val="normaltextrun"/>
                <w:rFonts w:asciiTheme="majorHAnsi" w:eastAsia="Arial" w:hAnsiTheme="majorHAnsi" w:cstheme="majorHAnsi"/>
                <w:i/>
                <w:color w:val="7F7F7F" w:themeColor="text1" w:themeTint="80"/>
                <w:sz w:val="18"/>
                <w:szCs w:val="18"/>
              </w:rPr>
              <w:t xml:space="preserve">Note: </w:t>
            </w:r>
            <w:r w:rsidR="00DC4C40" w:rsidRPr="004A2793">
              <w:rPr>
                <w:rStyle w:val="normaltextrun"/>
                <w:rFonts w:asciiTheme="majorHAnsi" w:eastAsia="Arial" w:hAnsiTheme="majorHAnsi" w:cstheme="majorHAnsi"/>
                <w:i/>
                <w:color w:val="7F7F7F" w:themeColor="text1" w:themeTint="80"/>
                <w:sz w:val="18"/>
                <w:szCs w:val="18"/>
              </w:rPr>
              <w:t xml:space="preserve">Each bar represents the coefficient of the variable of interest on a linear regression model with a binary dependent variable equals 1 if the firm </w:t>
            </w:r>
            <w:r w:rsidR="008910AA" w:rsidRPr="004A2793">
              <w:rPr>
                <w:rStyle w:val="normaltextrun"/>
                <w:rFonts w:asciiTheme="majorHAnsi" w:eastAsia="Arial" w:hAnsiTheme="majorHAnsi" w:cstheme="majorHAnsi"/>
                <w:i/>
                <w:color w:val="7F7F7F" w:themeColor="text1" w:themeTint="80"/>
                <w:sz w:val="18"/>
                <w:szCs w:val="18"/>
              </w:rPr>
              <w:t>spent on R&amp;D</w:t>
            </w:r>
            <w:r w:rsidR="00DC4C40" w:rsidRPr="004A2793">
              <w:rPr>
                <w:rStyle w:val="normaltextrun"/>
                <w:rFonts w:asciiTheme="majorHAnsi" w:eastAsia="Arial" w:hAnsiTheme="majorHAnsi" w:cstheme="majorHAnsi"/>
                <w:i/>
                <w:color w:val="7F7F7F" w:themeColor="text1" w:themeTint="80"/>
                <w:sz w:val="18"/>
                <w:szCs w:val="18"/>
              </w:rPr>
              <w:t>, 0, otherwise. All regressions account for firm size, sector, location fixed effects, and firm age.</w:t>
            </w:r>
          </w:p>
        </w:tc>
      </w:tr>
      <w:tr w:rsidR="0063550E" w:rsidRPr="006E36EE" w14:paraId="42BD33DE" w14:textId="77777777" w:rsidTr="004A2793">
        <w:trPr>
          <w:jc w:val="center"/>
        </w:trPr>
        <w:tc>
          <w:tcPr>
            <w:tcW w:w="2591" w:type="pct"/>
          </w:tcPr>
          <w:p w14:paraId="06696547" w14:textId="206A2B8D" w:rsidR="0063550E" w:rsidRPr="006E36EE" w:rsidRDefault="0063550E" w:rsidP="004A2793">
            <w:pPr>
              <w:pStyle w:val="Caption"/>
              <w:keepNext/>
              <w:spacing w:before="0" w:after="0"/>
              <w:jc w:val="both"/>
              <w:rPr>
                <w:rFonts w:asciiTheme="minorHAnsi" w:eastAsiaTheme="majorEastAsia" w:hAnsiTheme="minorHAnsi" w:cstheme="minorHAnsi"/>
                <w:b w:val="0"/>
                <w:bCs w:val="0"/>
                <w:color w:val="2F5496" w:themeColor="accent1" w:themeShade="BF"/>
                <w:sz w:val="20"/>
                <w:szCs w:val="20"/>
              </w:rPr>
            </w:pPr>
          </w:p>
        </w:tc>
        <w:tc>
          <w:tcPr>
            <w:tcW w:w="185" w:type="pct"/>
            <w:gridSpan w:val="3"/>
          </w:tcPr>
          <w:p w14:paraId="145F135C" w14:textId="77777777" w:rsidR="0063550E" w:rsidRPr="006E36EE" w:rsidRDefault="0063550E" w:rsidP="004A2793">
            <w:pPr>
              <w:pStyle w:val="Caption"/>
              <w:keepNext/>
              <w:spacing w:before="0" w:after="0"/>
              <w:jc w:val="both"/>
              <w:rPr>
                <w:rFonts w:asciiTheme="minorHAnsi" w:eastAsiaTheme="majorEastAsia" w:hAnsiTheme="minorHAnsi" w:cstheme="minorHAnsi"/>
                <w:b w:val="0"/>
                <w:bCs w:val="0"/>
                <w:color w:val="2F5496" w:themeColor="accent1" w:themeShade="BF"/>
                <w:sz w:val="20"/>
                <w:szCs w:val="20"/>
              </w:rPr>
            </w:pPr>
          </w:p>
        </w:tc>
        <w:tc>
          <w:tcPr>
            <w:tcW w:w="2224" w:type="pct"/>
          </w:tcPr>
          <w:p w14:paraId="1E767D9A" w14:textId="2C030C66" w:rsidR="0063550E" w:rsidRPr="006E36EE" w:rsidRDefault="0063550E" w:rsidP="004A2793">
            <w:pPr>
              <w:pStyle w:val="Caption"/>
              <w:keepNext/>
              <w:spacing w:before="0" w:after="0"/>
              <w:jc w:val="both"/>
              <w:rPr>
                <w:rFonts w:asciiTheme="minorHAnsi" w:eastAsiaTheme="majorEastAsia" w:hAnsiTheme="minorHAnsi" w:cstheme="minorHAnsi"/>
                <w:b w:val="0"/>
                <w:bCs w:val="0"/>
                <w:color w:val="2F5496" w:themeColor="accent1" w:themeShade="BF"/>
                <w:sz w:val="20"/>
                <w:szCs w:val="20"/>
              </w:rPr>
            </w:pPr>
          </w:p>
        </w:tc>
      </w:tr>
    </w:tbl>
    <w:p w14:paraId="22D5B6A2" w14:textId="24C09744" w:rsidR="00CF0BA9" w:rsidRDefault="009E3383" w:rsidP="00CF0BA9">
      <w:pPr>
        <w:jc w:val="both"/>
        <w:rPr>
          <w:rStyle w:val="normaltextrun"/>
          <w:rFonts w:asciiTheme="majorHAnsi" w:eastAsiaTheme="majorEastAsia" w:hAnsiTheme="majorHAnsi" w:cstheme="majorBidi"/>
          <w:i/>
          <w:iCs/>
          <w:color w:val="2F5496" w:themeColor="accent1" w:themeShade="BF"/>
        </w:rPr>
      </w:pPr>
      <w:r>
        <w:rPr>
          <w:b/>
          <w:bCs/>
        </w:rPr>
        <w:t xml:space="preserve">Firm-level analysis </w:t>
      </w:r>
      <w:r w:rsidR="00922E8F">
        <w:rPr>
          <w:b/>
          <w:bCs/>
        </w:rPr>
        <w:t>show</w:t>
      </w:r>
      <w:r w:rsidR="00220951">
        <w:rPr>
          <w:b/>
          <w:bCs/>
        </w:rPr>
        <w:t>s</w:t>
      </w:r>
      <w:r w:rsidR="00922E8F">
        <w:rPr>
          <w:b/>
          <w:bCs/>
        </w:rPr>
        <w:t xml:space="preserve"> </w:t>
      </w:r>
      <w:r w:rsidR="00F37151">
        <w:rPr>
          <w:b/>
          <w:bCs/>
        </w:rPr>
        <w:t xml:space="preserve">that </w:t>
      </w:r>
      <w:r w:rsidR="001475FF">
        <w:rPr>
          <w:b/>
          <w:bCs/>
        </w:rPr>
        <w:t xml:space="preserve">regulatory quality and efficiency in some business areas are lower than </w:t>
      </w:r>
      <w:r w:rsidR="00016207">
        <w:rPr>
          <w:b/>
          <w:bCs/>
        </w:rPr>
        <w:t xml:space="preserve">among </w:t>
      </w:r>
      <w:r w:rsidR="001475FF">
        <w:rPr>
          <w:b/>
          <w:bCs/>
        </w:rPr>
        <w:t xml:space="preserve">peers. </w:t>
      </w:r>
      <w:r w:rsidR="00E54882">
        <w:t xml:space="preserve">On average, Viet Nam has relatively high level of delivery efficiency (less time to get </w:t>
      </w:r>
      <w:r w:rsidR="00E54882">
        <w:lastRenderedPageBreak/>
        <w:t xml:space="preserve">paperwork done) </w:t>
      </w:r>
      <w:r w:rsidR="00854B03">
        <w:t>but it also has a high level of discretion</w:t>
      </w:r>
      <w:r w:rsidR="00854B03" w:rsidRPr="00AA6635">
        <w:rPr>
          <w:rStyle w:val="FootnoteReference"/>
        </w:rPr>
        <w:footnoteReference w:id="31"/>
      </w:r>
      <w:r w:rsidR="00854B03">
        <w:t xml:space="preserve"> </w:t>
      </w:r>
      <w:r w:rsidR="00854B03" w:rsidRPr="00854B03">
        <w:t xml:space="preserve">compared to peers </w:t>
      </w:r>
      <w:r w:rsidR="00854B03">
        <w:t>(</w:t>
      </w:r>
      <w:r w:rsidR="00802083">
        <w:t xml:space="preserve">Figure 9a). </w:t>
      </w:r>
      <w:r w:rsidR="009542BE">
        <w:t xml:space="preserve">In specific areas, such as </w:t>
      </w:r>
      <w:r w:rsidR="005B5586">
        <w:t xml:space="preserve">import licenses, </w:t>
      </w:r>
      <w:r w:rsidR="00761434">
        <w:t xml:space="preserve">Viet Nam has a higher level of discretion compared to </w:t>
      </w:r>
      <w:r w:rsidR="00BE7EE1">
        <w:t xml:space="preserve">other countries, even higher than Cambodia. </w:t>
      </w:r>
      <w:r w:rsidR="00CD1AA7">
        <w:t xml:space="preserve">Viet Nam has made significant reform in construction permit but the number of days to </w:t>
      </w:r>
      <w:r w:rsidR="00CD27BA">
        <w:t xml:space="preserve">get the construction permit in Viet Nam is still higher than that in Cambodia (Figure 9b). </w:t>
      </w:r>
      <w:r w:rsidR="00931983" w:rsidRPr="00931983">
        <w:t xml:space="preserve">Policy implementation uncertainty </w:t>
      </w:r>
      <w:r w:rsidR="00931983">
        <w:t>has been shown to be</w:t>
      </w:r>
      <w:r w:rsidR="00931983" w:rsidRPr="00931983">
        <w:t xml:space="preserve"> associated with lower competition, innovation and firm growt</w:t>
      </w:r>
      <w:r w:rsidR="00931983">
        <w:t xml:space="preserve">h </w:t>
      </w:r>
      <w:r w:rsidR="00F43346" w:rsidRPr="00F43346">
        <w:t xml:space="preserve">by granting privileges to selected </w:t>
      </w:r>
      <w:r w:rsidR="00F43346" w:rsidRPr="00CD3AB8">
        <w:t>firms.</w:t>
      </w:r>
      <w:r w:rsidR="00605849">
        <w:rPr>
          <w:rStyle w:val="FootnoteReference"/>
        </w:rPr>
        <w:footnoteReference w:id="32"/>
      </w:r>
      <w:r w:rsidR="00F43346">
        <w:t xml:space="preserve"> </w:t>
      </w:r>
      <w:r w:rsidR="00D00C23">
        <w:t>S</w:t>
      </w:r>
      <w:r w:rsidR="00F43346">
        <w:t xml:space="preserve">treamlined </w:t>
      </w:r>
      <w:r w:rsidR="00AD5FD9">
        <w:t>regulat</w:t>
      </w:r>
      <w:r w:rsidR="00834408">
        <w:t xml:space="preserve">ions and improved service delivery in specific </w:t>
      </w:r>
      <w:r w:rsidR="009D2DD7">
        <w:t xml:space="preserve">areas </w:t>
      </w:r>
      <w:r w:rsidR="00AD5FD9">
        <w:t xml:space="preserve">may reduce </w:t>
      </w:r>
      <w:r w:rsidR="00446629">
        <w:t>discretion</w:t>
      </w:r>
      <w:r w:rsidR="00146A63">
        <w:t xml:space="preserve"> in the </w:t>
      </w:r>
      <w:r w:rsidR="00446629">
        <w:t>implementation of regulation</w:t>
      </w:r>
      <w:r w:rsidR="009D2DD7">
        <w:t>,</w:t>
      </w:r>
      <w:r w:rsidR="00446629">
        <w:t xml:space="preserve"> removing a potential barrier to firms’ investment and productivity growth. </w:t>
      </w:r>
    </w:p>
    <w:p w14:paraId="7BCC2476" w14:textId="04D89854" w:rsidR="00CF0BA9" w:rsidRPr="004A2793" w:rsidRDefault="00CF0BA9" w:rsidP="004A2793">
      <w:pPr>
        <w:pStyle w:val="Caption"/>
        <w:keepNext/>
        <w:spacing w:before="240" w:after="0"/>
        <w:jc w:val="both"/>
        <w:rPr>
          <w:rFonts w:cstheme="minorHAnsi"/>
          <w:sz w:val="20"/>
          <w:szCs w:val="20"/>
        </w:rPr>
      </w:pPr>
      <w:r w:rsidRPr="004A2793">
        <w:rPr>
          <w:rFonts w:asciiTheme="minorHAnsi" w:hAnsiTheme="minorHAnsi" w:cstheme="minorHAnsi"/>
          <w:sz w:val="20"/>
          <w:szCs w:val="20"/>
        </w:rPr>
        <w:t xml:space="preserve">Figure </w:t>
      </w:r>
      <w:r w:rsidR="00802083">
        <w:rPr>
          <w:rFonts w:asciiTheme="minorHAnsi" w:hAnsiTheme="minorHAnsi" w:cstheme="minorHAnsi"/>
          <w:sz w:val="20"/>
          <w:szCs w:val="20"/>
        </w:rPr>
        <w:t>9</w:t>
      </w:r>
      <w:r w:rsidRPr="004A2793">
        <w:rPr>
          <w:rFonts w:asciiTheme="minorHAnsi" w:hAnsiTheme="minorHAnsi" w:cstheme="minorHAnsi"/>
          <w:sz w:val="20"/>
          <w:szCs w:val="20"/>
        </w:rPr>
        <w:t xml:space="preserve">. Vietnam’s regulatory system </w:t>
      </w:r>
      <w:r w:rsidR="00F26E9D">
        <w:rPr>
          <w:rFonts w:asciiTheme="minorHAnsi" w:hAnsiTheme="minorHAnsi" w:cstheme="minorHAnsi"/>
          <w:sz w:val="20"/>
          <w:szCs w:val="20"/>
        </w:rPr>
        <w:t xml:space="preserve">increase </w:t>
      </w:r>
      <w:r w:rsidRPr="004A2793">
        <w:rPr>
          <w:rFonts w:asciiTheme="minorHAnsi" w:hAnsiTheme="minorHAnsi" w:cstheme="minorHAnsi"/>
          <w:sz w:val="20"/>
          <w:szCs w:val="20"/>
        </w:rPr>
        <w:t xml:space="preserve"> compliance costs for businesses due to its inefficiency and discretion.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23"/>
        <w:gridCol w:w="4536"/>
      </w:tblGrid>
      <w:tr w:rsidR="00CF0BA9" w:rsidRPr="003F6C71" w14:paraId="1606410E" w14:textId="77777777" w:rsidTr="15E5BA73">
        <w:trPr>
          <w:jc w:val="center"/>
        </w:trPr>
        <w:tc>
          <w:tcPr>
            <w:tcW w:w="2458" w:type="pct"/>
          </w:tcPr>
          <w:p w14:paraId="619FCB3C" w14:textId="77777777" w:rsidR="00CF0BA9" w:rsidRPr="004A2793" w:rsidRDefault="00CF0BA9" w:rsidP="004A2793">
            <w:pPr>
              <w:pStyle w:val="Caption"/>
              <w:keepNext/>
              <w:spacing w:before="120" w:after="0"/>
              <w:jc w:val="both"/>
              <w:rPr>
                <w:rFonts w:asciiTheme="minorHAnsi" w:eastAsiaTheme="majorEastAsia" w:hAnsiTheme="minorHAnsi" w:cstheme="minorHAnsi"/>
                <w:color w:val="2F5496" w:themeColor="accent1" w:themeShade="BF"/>
                <w:sz w:val="20"/>
                <w:szCs w:val="20"/>
              </w:rPr>
            </w:pPr>
            <w:r w:rsidRPr="004A2793">
              <w:rPr>
                <w:rFonts w:asciiTheme="minorHAnsi" w:eastAsiaTheme="majorEastAsia" w:hAnsiTheme="minorHAnsi" w:cstheme="minorHAnsi"/>
                <w:b w:val="0"/>
                <w:color w:val="2F5496" w:themeColor="accent1" w:themeShade="BF"/>
                <w:sz w:val="20"/>
                <w:szCs w:val="20"/>
              </w:rPr>
              <w:t xml:space="preserve">a. Efficiency and discretion, by countries                 </w:t>
            </w:r>
          </w:p>
        </w:tc>
        <w:tc>
          <w:tcPr>
            <w:tcW w:w="119" w:type="pct"/>
          </w:tcPr>
          <w:p w14:paraId="4A44AD1D" w14:textId="77777777" w:rsidR="00CF0BA9" w:rsidRPr="004A2793" w:rsidRDefault="00CF0BA9" w:rsidP="004A2793">
            <w:pPr>
              <w:pStyle w:val="Caption"/>
              <w:keepNext/>
              <w:spacing w:before="120" w:after="0"/>
              <w:jc w:val="both"/>
              <w:rPr>
                <w:rFonts w:asciiTheme="minorHAnsi" w:eastAsiaTheme="majorEastAsia" w:hAnsiTheme="minorHAnsi" w:cstheme="minorHAnsi"/>
                <w:b w:val="0"/>
                <w:color w:val="2F5496" w:themeColor="accent1" w:themeShade="BF"/>
                <w:sz w:val="20"/>
                <w:szCs w:val="20"/>
              </w:rPr>
            </w:pPr>
          </w:p>
        </w:tc>
        <w:tc>
          <w:tcPr>
            <w:tcW w:w="2423" w:type="pct"/>
          </w:tcPr>
          <w:p w14:paraId="47B21617" w14:textId="40F56A7B" w:rsidR="00CF0BA9" w:rsidRPr="004A2793" w:rsidRDefault="00CF0BA9" w:rsidP="004A2793">
            <w:pPr>
              <w:pStyle w:val="Caption"/>
              <w:keepNext/>
              <w:spacing w:before="120" w:after="0"/>
              <w:jc w:val="both"/>
              <w:rPr>
                <w:rFonts w:asciiTheme="minorHAnsi" w:eastAsiaTheme="majorEastAsia" w:hAnsiTheme="minorHAnsi" w:cstheme="minorHAnsi"/>
                <w:color w:val="2F5496" w:themeColor="accent1" w:themeShade="BF"/>
                <w:sz w:val="20"/>
                <w:szCs w:val="20"/>
              </w:rPr>
            </w:pPr>
            <w:r w:rsidRPr="004A2793">
              <w:rPr>
                <w:rFonts w:asciiTheme="minorHAnsi" w:eastAsiaTheme="majorEastAsia" w:hAnsiTheme="minorHAnsi" w:cstheme="minorHAnsi"/>
                <w:b w:val="0"/>
                <w:color w:val="2F5496" w:themeColor="accent1" w:themeShade="BF"/>
                <w:sz w:val="20"/>
                <w:szCs w:val="20"/>
              </w:rPr>
              <w:t xml:space="preserve">  b. Efficiency and discretion, by country-regulatory process</w:t>
            </w:r>
          </w:p>
        </w:tc>
      </w:tr>
      <w:tr w:rsidR="00CF0BA9" w:rsidRPr="00013A7E" w14:paraId="09EA5C81" w14:textId="77777777" w:rsidTr="15E5BA73">
        <w:trPr>
          <w:trHeight w:val="2385"/>
          <w:jc w:val="center"/>
        </w:trPr>
        <w:tc>
          <w:tcPr>
            <w:tcW w:w="2458" w:type="pct"/>
          </w:tcPr>
          <w:p w14:paraId="08FA819E" w14:textId="77777777" w:rsidR="00CF0BA9" w:rsidRPr="00013A7E" w:rsidRDefault="00CF0BA9" w:rsidP="15E5BA73">
            <w:pPr>
              <w:widowControl w:val="0"/>
              <w:spacing w:before="120"/>
              <w:rPr>
                <w:rFonts w:asciiTheme="majorHAnsi" w:hAnsiTheme="majorHAnsi" w:cstheme="majorBidi"/>
              </w:rPr>
            </w:pPr>
            <w:r w:rsidRPr="00B22C15">
              <w:rPr>
                <w:rFonts w:asciiTheme="majorHAnsi" w:hAnsiTheme="majorHAnsi" w:cstheme="majorBidi"/>
                <w:noProof/>
              </w:rPr>
              <w:drawing>
                <wp:inline distT="0" distB="0" distL="0" distR="0" wp14:anchorId="21941B23" wp14:editId="49E1D9D7">
                  <wp:extent cx="2688336" cy="179222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8336" cy="1792224"/>
                          </a:xfrm>
                          <a:prstGeom prst="rect">
                            <a:avLst/>
                          </a:prstGeom>
                          <a:noFill/>
                          <a:ln>
                            <a:noFill/>
                          </a:ln>
                        </pic:spPr>
                      </pic:pic>
                    </a:graphicData>
                  </a:graphic>
                </wp:inline>
              </w:drawing>
            </w:r>
          </w:p>
        </w:tc>
        <w:tc>
          <w:tcPr>
            <w:tcW w:w="119" w:type="pct"/>
          </w:tcPr>
          <w:p w14:paraId="0D4B4179" w14:textId="77777777" w:rsidR="00CF0BA9" w:rsidRDefault="00CF0BA9" w:rsidP="006F27C9">
            <w:pPr>
              <w:widowControl w:val="0"/>
              <w:spacing w:before="120"/>
              <w:rPr>
                <w:rFonts w:asciiTheme="majorHAnsi" w:hAnsiTheme="majorHAnsi" w:cstheme="majorHAnsi"/>
                <w:noProof/>
              </w:rPr>
            </w:pPr>
          </w:p>
        </w:tc>
        <w:tc>
          <w:tcPr>
            <w:tcW w:w="2423" w:type="pct"/>
          </w:tcPr>
          <w:p w14:paraId="1B1B85D7" w14:textId="77777777" w:rsidR="00CF0BA9" w:rsidRPr="00013A7E" w:rsidRDefault="00CF0BA9" w:rsidP="15E5BA73">
            <w:pPr>
              <w:widowControl w:val="0"/>
              <w:spacing w:before="120"/>
              <w:jc w:val="right"/>
              <w:rPr>
                <w:rFonts w:asciiTheme="majorHAnsi" w:hAnsiTheme="majorHAnsi" w:cstheme="majorBidi"/>
              </w:rPr>
            </w:pPr>
            <w:r w:rsidRPr="004D36E4">
              <w:rPr>
                <w:rFonts w:asciiTheme="majorHAnsi" w:hAnsiTheme="majorHAnsi" w:cstheme="majorBidi"/>
                <w:noProof/>
              </w:rPr>
              <w:drawing>
                <wp:inline distT="0" distB="0" distL="0" distR="0" wp14:anchorId="786EFBEC" wp14:editId="54C37F60">
                  <wp:extent cx="2688336" cy="179222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8336" cy="1792224"/>
                          </a:xfrm>
                          <a:prstGeom prst="rect">
                            <a:avLst/>
                          </a:prstGeom>
                          <a:noFill/>
                          <a:ln>
                            <a:noFill/>
                          </a:ln>
                        </pic:spPr>
                      </pic:pic>
                    </a:graphicData>
                  </a:graphic>
                </wp:inline>
              </w:drawing>
            </w:r>
          </w:p>
        </w:tc>
      </w:tr>
      <w:tr w:rsidR="00CF0BA9" w:rsidRPr="00286D97" w14:paraId="7E2ED489" w14:textId="77777777" w:rsidTr="15E5BA73">
        <w:trPr>
          <w:trHeight w:val="1341"/>
          <w:jc w:val="center"/>
        </w:trPr>
        <w:tc>
          <w:tcPr>
            <w:tcW w:w="2458" w:type="pct"/>
          </w:tcPr>
          <w:p w14:paraId="7EEB7AB4" w14:textId="77777777" w:rsidR="00CF0BA9" w:rsidRPr="004A2793" w:rsidRDefault="00CF0BA9" w:rsidP="006F27C9">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 xml:space="preserve">Source: </w:t>
            </w:r>
            <w:r w:rsidRPr="004A2793">
              <w:rPr>
                <w:rFonts w:asciiTheme="majorHAnsi" w:eastAsia="Arial" w:hAnsiTheme="majorHAnsi" w:cstheme="majorHAnsi"/>
                <w:i/>
                <w:color w:val="7F7F7F" w:themeColor="text1" w:themeTint="80"/>
                <w:sz w:val="18"/>
                <w:szCs w:val="18"/>
              </w:rPr>
              <w:t xml:space="preserve">WBES. </w:t>
            </w:r>
          </w:p>
          <w:p w14:paraId="2ACF5449" w14:textId="544BAA41" w:rsidR="00CF0BA9" w:rsidRPr="004A2793" w:rsidRDefault="00CF0BA9" w:rsidP="006F27C9">
            <w:pPr>
              <w:pStyle w:val="ListParagraph"/>
              <w:tabs>
                <w:tab w:val="left" w:pos="450"/>
              </w:tabs>
              <w:ind w:left="0"/>
              <w:contextualSpacing w:val="0"/>
              <w:jc w:val="both"/>
              <w:rPr>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Note: Regulatory processes are time taken to obtaining electrical connection, obtaining water connection, clearing exports through customs, clearing imports through customs, obtaining construction permit, obtaining operating licenses, and obtaining import licenses.</w:t>
            </w:r>
            <w:r w:rsidR="00F263D6" w:rsidRPr="004A2793">
              <w:rPr>
                <w:rFonts w:asciiTheme="majorHAnsi" w:hAnsiTheme="majorHAnsi" w:cstheme="majorHAnsi"/>
                <w:sz w:val="18"/>
                <w:szCs w:val="18"/>
              </w:rPr>
              <w:t xml:space="preserve"> </w:t>
            </w:r>
            <w:r w:rsidR="00F263D6" w:rsidRPr="004A2793">
              <w:rPr>
                <w:rStyle w:val="normaltextrun"/>
                <w:rFonts w:asciiTheme="majorHAnsi" w:eastAsia="Arial" w:hAnsiTheme="majorHAnsi" w:cstheme="majorHAnsi"/>
                <w:i/>
                <w:color w:val="7F7F7F" w:themeColor="text1" w:themeTint="80"/>
                <w:sz w:val="18"/>
                <w:szCs w:val="18"/>
              </w:rPr>
              <w:t xml:space="preserve">It is assumed that a regulatory </w:t>
            </w:r>
            <w:r w:rsidR="005F3A9C" w:rsidRPr="004A2793">
              <w:rPr>
                <w:rStyle w:val="normaltextrun"/>
                <w:rFonts w:asciiTheme="majorHAnsi" w:eastAsia="Arial" w:hAnsiTheme="majorHAnsi" w:cstheme="majorHAnsi"/>
                <w:i/>
                <w:color w:val="7F7F7F" w:themeColor="text1" w:themeTint="80"/>
                <w:sz w:val="18"/>
                <w:szCs w:val="18"/>
              </w:rPr>
              <w:t>process</w:t>
            </w:r>
            <w:r w:rsidR="00F263D6" w:rsidRPr="004A2793">
              <w:rPr>
                <w:rStyle w:val="normaltextrun"/>
                <w:rFonts w:asciiTheme="majorHAnsi" w:eastAsia="Arial" w:hAnsiTheme="majorHAnsi" w:cstheme="majorHAnsi"/>
                <w:i/>
                <w:color w:val="7F7F7F" w:themeColor="text1" w:themeTint="80"/>
                <w:sz w:val="18"/>
                <w:szCs w:val="18"/>
              </w:rPr>
              <w:t xml:space="preserve"> is reasonably efficient if the average number of days to complete the procedure is less than </w:t>
            </w:r>
            <w:r w:rsidR="004B2C30" w:rsidRPr="004A2793">
              <w:rPr>
                <w:rStyle w:val="normaltextrun"/>
                <w:rFonts w:asciiTheme="majorHAnsi" w:eastAsia="Arial" w:hAnsiTheme="majorHAnsi" w:cstheme="majorHAnsi"/>
                <w:i/>
                <w:color w:val="7F7F7F" w:themeColor="text1" w:themeTint="80"/>
                <w:sz w:val="18"/>
                <w:szCs w:val="18"/>
              </w:rPr>
              <w:t>8.7</w:t>
            </w:r>
            <w:r w:rsidR="00F263D6" w:rsidRPr="004A2793">
              <w:rPr>
                <w:rStyle w:val="normaltextrun"/>
                <w:rFonts w:asciiTheme="majorHAnsi" w:eastAsia="Arial" w:hAnsiTheme="majorHAnsi" w:cstheme="majorHAnsi"/>
                <w:i/>
                <w:color w:val="7F7F7F" w:themeColor="text1" w:themeTint="80"/>
                <w:sz w:val="18"/>
                <w:szCs w:val="18"/>
              </w:rPr>
              <w:t xml:space="preserve"> and inefficient if it is more.</w:t>
            </w:r>
            <w:r w:rsidR="00827B49" w:rsidRPr="004A2793">
              <w:rPr>
                <w:rStyle w:val="normaltextrun"/>
                <w:rFonts w:asciiTheme="majorHAnsi" w:eastAsia="Arial" w:hAnsiTheme="majorHAnsi" w:cstheme="majorHAnsi"/>
                <w:i/>
                <w:color w:val="7F7F7F" w:themeColor="text1" w:themeTint="80"/>
                <w:sz w:val="18"/>
                <w:szCs w:val="18"/>
              </w:rPr>
              <w:t xml:space="preserve"> </w:t>
            </w:r>
            <w:r w:rsidR="00223588" w:rsidRPr="004A2793">
              <w:rPr>
                <w:rStyle w:val="normaltextrun"/>
                <w:rFonts w:asciiTheme="majorHAnsi" w:eastAsia="Arial" w:hAnsiTheme="majorHAnsi" w:cstheme="majorHAnsi"/>
                <w:i/>
                <w:color w:val="7F7F7F" w:themeColor="text1" w:themeTint="80"/>
                <w:sz w:val="18"/>
                <w:szCs w:val="18"/>
              </w:rPr>
              <w:t>Th</w:t>
            </w:r>
            <w:r w:rsidR="00444FB4" w:rsidRPr="004A2793">
              <w:rPr>
                <w:rStyle w:val="normaltextrun"/>
                <w:rFonts w:asciiTheme="majorHAnsi" w:eastAsia="Arial" w:hAnsiTheme="majorHAnsi" w:cstheme="majorHAnsi"/>
                <w:i/>
                <w:color w:val="7F7F7F" w:themeColor="text1" w:themeTint="80"/>
                <w:sz w:val="18"/>
                <w:szCs w:val="18"/>
              </w:rPr>
              <w:t xml:space="preserve">is </w:t>
            </w:r>
            <w:r w:rsidR="00223588" w:rsidRPr="004A2793">
              <w:rPr>
                <w:rStyle w:val="normaltextrun"/>
                <w:rFonts w:asciiTheme="majorHAnsi" w:eastAsia="Arial" w:hAnsiTheme="majorHAnsi" w:cstheme="majorHAnsi"/>
                <w:i/>
                <w:color w:val="7F7F7F" w:themeColor="text1" w:themeTint="80"/>
                <w:sz w:val="18"/>
                <w:szCs w:val="18"/>
              </w:rPr>
              <w:t xml:space="preserve">threshold </w:t>
            </w:r>
            <w:r w:rsidR="00444FB4" w:rsidRPr="004A2793">
              <w:rPr>
                <w:rStyle w:val="normaltextrun"/>
                <w:rFonts w:asciiTheme="majorHAnsi" w:eastAsia="Arial" w:hAnsiTheme="majorHAnsi" w:cstheme="majorHAnsi"/>
                <w:i/>
                <w:color w:val="7F7F7F" w:themeColor="text1" w:themeTint="80"/>
                <w:sz w:val="18"/>
                <w:szCs w:val="18"/>
              </w:rPr>
              <w:t xml:space="preserve">is computed as </w:t>
            </w:r>
            <w:r w:rsidR="003B309E" w:rsidRPr="004A2793">
              <w:rPr>
                <w:rStyle w:val="normaltextrun"/>
                <w:rFonts w:asciiTheme="majorHAnsi" w:eastAsia="Arial" w:hAnsiTheme="majorHAnsi" w:cstheme="majorHAnsi"/>
                <w:i/>
                <w:color w:val="7F7F7F" w:themeColor="text1" w:themeTint="80"/>
                <w:sz w:val="18"/>
                <w:szCs w:val="18"/>
              </w:rPr>
              <w:t xml:space="preserve">the </w:t>
            </w:r>
            <w:r w:rsidR="00444FB4" w:rsidRPr="004A2793">
              <w:rPr>
                <w:rStyle w:val="normaltextrun"/>
                <w:rFonts w:asciiTheme="majorHAnsi" w:eastAsia="Arial" w:hAnsiTheme="majorHAnsi" w:cstheme="majorHAnsi"/>
                <w:i/>
                <w:color w:val="7F7F7F" w:themeColor="text1" w:themeTint="80"/>
                <w:sz w:val="18"/>
                <w:szCs w:val="18"/>
              </w:rPr>
              <w:t>a</w:t>
            </w:r>
            <w:r w:rsidR="009E0608" w:rsidRPr="004A2793">
              <w:rPr>
                <w:rStyle w:val="normaltextrun"/>
                <w:rFonts w:asciiTheme="majorHAnsi" w:eastAsia="Arial" w:hAnsiTheme="majorHAnsi" w:cstheme="majorHAnsi"/>
                <w:i/>
                <w:color w:val="7F7F7F" w:themeColor="text1" w:themeTint="80"/>
                <w:sz w:val="18"/>
                <w:szCs w:val="18"/>
              </w:rPr>
              <w:t xml:space="preserve">verage </w:t>
            </w:r>
            <w:r w:rsidR="00B36885" w:rsidRPr="004A2793">
              <w:rPr>
                <w:rStyle w:val="normaltextrun"/>
                <w:rFonts w:asciiTheme="majorHAnsi" w:eastAsia="Arial" w:hAnsiTheme="majorHAnsi" w:cstheme="majorHAnsi"/>
                <w:i/>
                <w:color w:val="7F7F7F" w:themeColor="text1" w:themeTint="80"/>
                <w:sz w:val="18"/>
                <w:szCs w:val="18"/>
              </w:rPr>
              <w:t>regulatory process</w:t>
            </w:r>
            <w:r w:rsidR="00A83168" w:rsidRPr="004A2793">
              <w:rPr>
                <w:rStyle w:val="normaltextrun"/>
                <w:rFonts w:asciiTheme="majorHAnsi" w:eastAsia="Arial" w:hAnsiTheme="majorHAnsi" w:cstheme="majorHAnsi"/>
                <w:i/>
                <w:color w:val="7F7F7F" w:themeColor="text1" w:themeTint="80"/>
                <w:sz w:val="18"/>
                <w:szCs w:val="18"/>
              </w:rPr>
              <w:t xml:space="preserve"> </w:t>
            </w:r>
            <w:r w:rsidR="00A057CC" w:rsidRPr="004A2793">
              <w:rPr>
                <w:rStyle w:val="normaltextrun"/>
                <w:rFonts w:asciiTheme="majorHAnsi" w:eastAsia="Arial" w:hAnsiTheme="majorHAnsi" w:cstheme="majorHAnsi"/>
                <w:i/>
                <w:color w:val="7F7F7F" w:themeColor="text1" w:themeTint="80"/>
                <w:sz w:val="18"/>
                <w:szCs w:val="18"/>
              </w:rPr>
              <w:t xml:space="preserve">across </w:t>
            </w:r>
            <w:r w:rsidR="0032065D" w:rsidRPr="004A2793">
              <w:rPr>
                <w:rStyle w:val="normaltextrun"/>
                <w:rFonts w:asciiTheme="majorHAnsi" w:eastAsia="Arial" w:hAnsiTheme="majorHAnsi" w:cstheme="majorHAnsi"/>
                <w:i/>
                <w:color w:val="7F7F7F" w:themeColor="text1" w:themeTint="80"/>
                <w:sz w:val="18"/>
                <w:szCs w:val="18"/>
              </w:rPr>
              <w:t xml:space="preserve">Singapore, </w:t>
            </w:r>
            <w:r w:rsidR="005D347A" w:rsidRPr="004A2793">
              <w:rPr>
                <w:rStyle w:val="normaltextrun"/>
                <w:rFonts w:asciiTheme="majorHAnsi" w:eastAsia="Arial" w:hAnsiTheme="majorHAnsi" w:cstheme="majorHAnsi"/>
                <w:i/>
                <w:color w:val="7F7F7F" w:themeColor="text1" w:themeTint="80"/>
                <w:sz w:val="18"/>
                <w:szCs w:val="18"/>
              </w:rPr>
              <w:t>Indonesia, and Viet</w:t>
            </w:r>
            <w:r w:rsidR="00AC3ED2">
              <w:rPr>
                <w:rStyle w:val="normaltextrun"/>
                <w:rFonts w:asciiTheme="majorHAnsi" w:eastAsia="Arial" w:hAnsiTheme="majorHAnsi" w:cstheme="majorHAnsi"/>
                <w:i/>
                <w:color w:val="7F7F7F" w:themeColor="text1" w:themeTint="80"/>
                <w:sz w:val="18"/>
                <w:szCs w:val="18"/>
              </w:rPr>
              <w:t xml:space="preserve"> N</w:t>
            </w:r>
            <w:r w:rsidR="00AC3ED2" w:rsidRPr="004A2793">
              <w:rPr>
                <w:rStyle w:val="normaltextrun"/>
                <w:rFonts w:asciiTheme="majorHAnsi" w:eastAsia="Arial" w:hAnsiTheme="majorHAnsi" w:cstheme="majorHAnsi"/>
                <w:i/>
                <w:color w:val="7F7F7F" w:themeColor="text1" w:themeTint="80"/>
                <w:sz w:val="18"/>
                <w:szCs w:val="18"/>
              </w:rPr>
              <w:t>am</w:t>
            </w:r>
            <w:r w:rsidR="00B848DD" w:rsidRPr="004A2793">
              <w:rPr>
                <w:rStyle w:val="normaltextrun"/>
                <w:rFonts w:asciiTheme="majorHAnsi" w:eastAsia="Arial" w:hAnsiTheme="majorHAnsi" w:cstheme="majorHAnsi"/>
                <w:i/>
                <w:color w:val="7F7F7F" w:themeColor="text1" w:themeTint="80"/>
                <w:sz w:val="18"/>
                <w:szCs w:val="18"/>
              </w:rPr>
              <w:t xml:space="preserve"> (</w:t>
            </w:r>
            <w:r w:rsidR="0034302D" w:rsidRPr="004A2793">
              <w:rPr>
                <w:rStyle w:val="normaltextrun"/>
                <w:rFonts w:asciiTheme="majorHAnsi" w:eastAsia="Arial" w:hAnsiTheme="majorHAnsi" w:cstheme="majorHAnsi"/>
                <w:i/>
                <w:color w:val="7F7F7F" w:themeColor="text1" w:themeTint="80"/>
                <w:sz w:val="18"/>
                <w:szCs w:val="18"/>
              </w:rPr>
              <w:t>vertical dotted line)</w:t>
            </w:r>
            <w:r w:rsidR="005D347A" w:rsidRPr="004A2793">
              <w:rPr>
                <w:rStyle w:val="normaltextrun"/>
                <w:rFonts w:asciiTheme="majorHAnsi" w:eastAsia="Arial" w:hAnsiTheme="majorHAnsi" w:cstheme="majorHAnsi"/>
                <w:i/>
                <w:color w:val="7F7F7F" w:themeColor="text1" w:themeTint="80"/>
                <w:sz w:val="18"/>
                <w:szCs w:val="18"/>
              </w:rPr>
              <w:t>.</w:t>
            </w:r>
            <w:r w:rsidR="00F263D6" w:rsidRPr="004A2793">
              <w:rPr>
                <w:rStyle w:val="normaltextrun"/>
                <w:rFonts w:asciiTheme="majorHAnsi" w:eastAsia="Arial" w:hAnsiTheme="majorHAnsi" w:cstheme="majorHAnsi"/>
                <w:i/>
                <w:color w:val="7F7F7F" w:themeColor="text1" w:themeTint="80"/>
                <w:sz w:val="18"/>
                <w:szCs w:val="18"/>
              </w:rPr>
              <w:t xml:space="preserve"> It is also assumed that a coefficient of variation of more than 1 indicates a discretionary regulatory </w:t>
            </w:r>
            <w:r w:rsidR="005F3A9C" w:rsidRPr="004A2793">
              <w:rPr>
                <w:rStyle w:val="normaltextrun"/>
                <w:rFonts w:asciiTheme="majorHAnsi" w:eastAsia="Arial" w:hAnsiTheme="majorHAnsi" w:cstheme="majorHAnsi"/>
                <w:i/>
                <w:color w:val="7F7F7F" w:themeColor="text1" w:themeTint="80"/>
                <w:sz w:val="18"/>
                <w:szCs w:val="18"/>
              </w:rPr>
              <w:t>process</w:t>
            </w:r>
            <w:r w:rsidR="00763384" w:rsidRPr="004A2793">
              <w:rPr>
                <w:rStyle w:val="normaltextrun"/>
                <w:rFonts w:asciiTheme="majorHAnsi" w:eastAsia="Arial" w:hAnsiTheme="majorHAnsi" w:cstheme="majorHAnsi"/>
                <w:i/>
                <w:color w:val="7F7F7F" w:themeColor="text1" w:themeTint="80"/>
                <w:sz w:val="18"/>
                <w:szCs w:val="18"/>
              </w:rPr>
              <w:t xml:space="preserve"> (horizontal dotted line)</w:t>
            </w:r>
            <w:r w:rsidR="003032B5" w:rsidRPr="004A2793">
              <w:rPr>
                <w:rStyle w:val="normaltextrun"/>
                <w:rFonts w:asciiTheme="majorHAnsi" w:eastAsia="Arial" w:hAnsiTheme="majorHAnsi" w:cstheme="majorHAnsi"/>
                <w:i/>
                <w:color w:val="7F7F7F" w:themeColor="text1" w:themeTint="80"/>
                <w:sz w:val="18"/>
                <w:szCs w:val="18"/>
              </w:rPr>
              <w:t>.</w:t>
            </w:r>
          </w:p>
        </w:tc>
        <w:tc>
          <w:tcPr>
            <w:tcW w:w="119" w:type="pct"/>
          </w:tcPr>
          <w:p w14:paraId="6EE148F6" w14:textId="77777777" w:rsidR="00CF0BA9" w:rsidRPr="004A2793" w:rsidRDefault="00CF0BA9" w:rsidP="006F27C9">
            <w:pPr>
              <w:pStyle w:val="ListParagraph"/>
              <w:tabs>
                <w:tab w:val="left" w:pos="450"/>
              </w:tabs>
              <w:ind w:left="0"/>
              <w:contextualSpacing w:val="0"/>
              <w:rPr>
                <w:rStyle w:val="normaltextrun"/>
                <w:rFonts w:asciiTheme="majorHAnsi" w:eastAsia="Arial" w:hAnsiTheme="majorHAnsi" w:cstheme="majorHAnsi"/>
                <w:i/>
                <w:color w:val="7F7F7F" w:themeColor="text1" w:themeTint="80"/>
                <w:sz w:val="18"/>
                <w:szCs w:val="18"/>
              </w:rPr>
            </w:pPr>
          </w:p>
        </w:tc>
        <w:tc>
          <w:tcPr>
            <w:tcW w:w="2423" w:type="pct"/>
          </w:tcPr>
          <w:p w14:paraId="53B8FA68" w14:textId="77777777" w:rsidR="00CF0BA9" w:rsidRPr="004A2793" w:rsidRDefault="00CF0BA9" w:rsidP="006F27C9">
            <w:pPr>
              <w:pStyle w:val="ListParagraph"/>
              <w:tabs>
                <w:tab w:val="left" w:pos="450"/>
              </w:tabs>
              <w:ind w:left="0"/>
              <w:contextualSpacing w:val="0"/>
              <w:jc w:val="both"/>
              <w:rPr>
                <w:rStyle w:val="normaltextrun"/>
                <w:rFonts w:asciiTheme="majorHAnsi" w:eastAsia="Arial" w:hAnsiTheme="majorHAnsi" w:cstheme="majorHAnsi"/>
                <w:i/>
                <w:color w:val="7F7F7F" w:themeColor="text1" w:themeTint="80"/>
                <w:sz w:val="18"/>
                <w:szCs w:val="18"/>
              </w:rPr>
            </w:pPr>
            <w:r w:rsidRPr="004A2793">
              <w:rPr>
                <w:rStyle w:val="normaltextrun"/>
                <w:rFonts w:asciiTheme="majorHAnsi" w:eastAsia="Arial" w:hAnsiTheme="majorHAnsi" w:cstheme="majorHAnsi"/>
                <w:i/>
                <w:color w:val="7F7F7F" w:themeColor="text1" w:themeTint="80"/>
                <w:sz w:val="18"/>
                <w:szCs w:val="18"/>
              </w:rPr>
              <w:t xml:space="preserve">Source: </w:t>
            </w:r>
            <w:r w:rsidRPr="004A2793">
              <w:rPr>
                <w:rFonts w:asciiTheme="majorHAnsi" w:eastAsia="Arial" w:hAnsiTheme="majorHAnsi" w:cstheme="majorHAnsi"/>
                <w:i/>
                <w:color w:val="7F7F7F" w:themeColor="text1" w:themeTint="80"/>
                <w:sz w:val="18"/>
                <w:szCs w:val="18"/>
              </w:rPr>
              <w:t xml:space="preserve">WBES. </w:t>
            </w:r>
          </w:p>
          <w:p w14:paraId="7A6B3721" w14:textId="75CF51CF" w:rsidR="00CF0BA9" w:rsidRPr="004A2793" w:rsidRDefault="00CF0BA9" w:rsidP="006F27C9">
            <w:pPr>
              <w:pStyle w:val="ListParagraph"/>
              <w:tabs>
                <w:tab w:val="left" w:pos="450"/>
              </w:tabs>
              <w:ind w:left="0"/>
              <w:contextualSpacing w:val="0"/>
              <w:jc w:val="both"/>
              <w:rPr>
                <w:rFonts w:asciiTheme="majorHAnsi" w:hAnsiTheme="majorHAnsi" w:cstheme="majorHAnsi"/>
                <w:b/>
                <w:sz w:val="18"/>
                <w:szCs w:val="18"/>
              </w:rPr>
            </w:pPr>
            <w:r w:rsidRPr="004A2793">
              <w:rPr>
                <w:rStyle w:val="normaltextrun"/>
                <w:rFonts w:asciiTheme="majorHAnsi" w:eastAsia="Arial" w:hAnsiTheme="majorHAnsi" w:cstheme="majorHAnsi"/>
                <w:i/>
                <w:color w:val="7F7F7F" w:themeColor="text1" w:themeTint="80"/>
                <w:sz w:val="18"/>
                <w:szCs w:val="18"/>
              </w:rPr>
              <w:t>Note: Each dot represents a regulatory process in one country. Time taken to: (E) obtaining electrical connection, (W) obtaining water connection, (X Cl) clearing exports through customs, (M Cl) clearing imports through customs, (CL) obtaining construction permit, (OL) obtaining operating licenses, (IL) obtaining import licenses, and (INT) obtaining internet connection.</w:t>
            </w:r>
            <w:r w:rsidR="00F13FB1" w:rsidRPr="004A2793">
              <w:rPr>
                <w:rStyle w:val="normaltextrun"/>
                <w:rFonts w:asciiTheme="majorHAnsi" w:eastAsia="Arial" w:hAnsiTheme="majorHAnsi" w:cstheme="majorHAnsi"/>
                <w:i/>
                <w:color w:val="7F7F7F" w:themeColor="text1" w:themeTint="80"/>
                <w:sz w:val="18"/>
                <w:szCs w:val="18"/>
              </w:rPr>
              <w:t xml:space="preserve"> It is assumed that a regulatory process is reasonably efficient if the average number of days to complete the procedure is less than 8.7 and inefficient if it is more. This threshold is computed as the average regulatory process across Singapore, Indonesia, and Viet</w:t>
            </w:r>
            <w:r w:rsidR="00AC3ED2">
              <w:rPr>
                <w:rStyle w:val="normaltextrun"/>
                <w:rFonts w:asciiTheme="majorHAnsi" w:eastAsia="Arial" w:hAnsiTheme="majorHAnsi" w:cstheme="majorHAnsi"/>
                <w:i/>
                <w:color w:val="7F7F7F" w:themeColor="text1" w:themeTint="80"/>
                <w:sz w:val="18"/>
                <w:szCs w:val="18"/>
              </w:rPr>
              <w:t xml:space="preserve"> N</w:t>
            </w:r>
            <w:r w:rsidR="00AC3ED2" w:rsidRPr="004A2793">
              <w:rPr>
                <w:rStyle w:val="normaltextrun"/>
                <w:rFonts w:asciiTheme="majorHAnsi" w:eastAsia="Arial" w:hAnsiTheme="majorHAnsi" w:cstheme="majorHAnsi"/>
                <w:i/>
                <w:color w:val="7F7F7F" w:themeColor="text1" w:themeTint="80"/>
                <w:sz w:val="18"/>
                <w:szCs w:val="18"/>
              </w:rPr>
              <w:t>am</w:t>
            </w:r>
            <w:r w:rsidR="00F13FB1" w:rsidRPr="004A2793">
              <w:rPr>
                <w:rStyle w:val="normaltextrun"/>
                <w:rFonts w:asciiTheme="majorHAnsi" w:eastAsia="Arial" w:hAnsiTheme="majorHAnsi" w:cstheme="majorHAnsi"/>
                <w:i/>
                <w:color w:val="7F7F7F" w:themeColor="text1" w:themeTint="80"/>
                <w:sz w:val="18"/>
                <w:szCs w:val="18"/>
              </w:rPr>
              <w:t xml:space="preserve"> (vertical dotted line). It is also assumed that a coefficient of variation of more than 1 indicates a discretionary regulatory process (horizontal dotted line).</w:t>
            </w:r>
          </w:p>
        </w:tc>
      </w:tr>
    </w:tbl>
    <w:p w14:paraId="4583A951" w14:textId="77777777" w:rsidR="00947C47" w:rsidRDefault="00947C47" w:rsidP="00947C47"/>
    <w:p w14:paraId="22454CF9" w14:textId="2622A5E5" w:rsidR="00DA0E20" w:rsidRPr="00936A6B" w:rsidRDefault="00706FD8" w:rsidP="00925C0B">
      <w:pPr>
        <w:jc w:val="both"/>
        <w:rPr>
          <w:rFonts w:eastAsia="Times New Roman"/>
        </w:rPr>
      </w:pPr>
      <w:r w:rsidRPr="00925C0B">
        <w:rPr>
          <w:b/>
          <w:bCs/>
        </w:rPr>
        <w:t xml:space="preserve">Going forward, it would be useful </w:t>
      </w:r>
      <w:r w:rsidR="00010111" w:rsidRPr="00925C0B">
        <w:rPr>
          <w:b/>
          <w:bCs/>
        </w:rPr>
        <w:t xml:space="preserve">to </w:t>
      </w:r>
      <w:r w:rsidR="00A721DD" w:rsidRPr="00925C0B">
        <w:rPr>
          <w:b/>
          <w:bCs/>
        </w:rPr>
        <w:t xml:space="preserve">complement </w:t>
      </w:r>
      <w:r w:rsidR="00BA6188" w:rsidRPr="00925C0B">
        <w:rPr>
          <w:b/>
          <w:bCs/>
        </w:rPr>
        <w:t xml:space="preserve">the firm-level data on firm performance with robust data on the </w:t>
      </w:r>
      <w:r w:rsidR="00A73DB2">
        <w:rPr>
          <w:b/>
          <w:bCs/>
        </w:rPr>
        <w:t xml:space="preserve">quality of the </w:t>
      </w:r>
      <w:r w:rsidR="00BA6188" w:rsidRPr="00925C0B">
        <w:rPr>
          <w:b/>
          <w:bCs/>
        </w:rPr>
        <w:t>regulatory environment</w:t>
      </w:r>
      <w:r w:rsidR="00BA6188">
        <w:t xml:space="preserve">. </w:t>
      </w:r>
      <w:r w:rsidR="3EE19845">
        <w:t xml:space="preserve">The </w:t>
      </w:r>
      <w:r w:rsidR="34465B94">
        <w:t>l</w:t>
      </w:r>
      <w:r w:rsidR="00BA6188">
        <w:t xml:space="preserve">ack of </w:t>
      </w:r>
      <w:r w:rsidR="005B0A47">
        <w:t>granular</w:t>
      </w:r>
      <w:r w:rsidR="00BA6188">
        <w:t xml:space="preserve"> data on </w:t>
      </w:r>
      <w:r w:rsidR="00F72F1F">
        <w:t>the qu</w:t>
      </w:r>
      <w:r w:rsidR="004C1716">
        <w:t xml:space="preserve">antity and quality of </w:t>
      </w:r>
      <w:r w:rsidR="008C153B">
        <w:t>regu</w:t>
      </w:r>
      <w:r w:rsidR="00A73DB2">
        <w:t xml:space="preserve">lations makes it </w:t>
      </w:r>
      <w:r w:rsidR="4B9EA0C3">
        <w:t xml:space="preserve">challenging </w:t>
      </w:r>
      <w:r w:rsidR="00A73DB2">
        <w:t>to make a causal connection between the firm-level per</w:t>
      </w:r>
      <w:r w:rsidR="007A16D2">
        <w:t>formance and specific regulatory constraints</w:t>
      </w:r>
      <w:r w:rsidR="001D2A8D">
        <w:t xml:space="preserve"> and</w:t>
      </w:r>
      <w:r w:rsidR="004C6DBA">
        <w:t xml:space="preserve"> </w:t>
      </w:r>
      <w:r w:rsidR="00DA0E20" w:rsidRPr="00925C0B">
        <w:rPr>
          <w:rFonts w:eastAsia="Times New Roman"/>
        </w:rPr>
        <w:t xml:space="preserve">between the three channels of productivity </w:t>
      </w:r>
      <w:r w:rsidR="00F7297F">
        <w:rPr>
          <w:rFonts w:eastAsia="Times New Roman"/>
        </w:rPr>
        <w:t xml:space="preserve">growth </w:t>
      </w:r>
      <w:r w:rsidR="00F7297F" w:rsidRPr="00F7297F">
        <w:rPr>
          <w:rFonts w:eastAsia="Times New Roman"/>
        </w:rPr>
        <w:t>and</w:t>
      </w:r>
      <w:r w:rsidR="00DA0E20" w:rsidRPr="00925C0B">
        <w:rPr>
          <w:rFonts w:eastAsia="Times New Roman"/>
        </w:rPr>
        <w:t xml:space="preserve"> the regulatory </w:t>
      </w:r>
      <w:r w:rsidR="00DA0E20" w:rsidRPr="00925C0B">
        <w:rPr>
          <w:rFonts w:eastAsia="Times New Roman"/>
        </w:rPr>
        <w:lastRenderedPageBreak/>
        <w:t xml:space="preserve">constraints for each channel. </w:t>
      </w:r>
      <w:r w:rsidR="3C42F529" w:rsidRPr="3CF91640">
        <w:rPr>
          <w:rFonts w:eastAsia="Times New Roman"/>
        </w:rPr>
        <w:t xml:space="preserve">The </w:t>
      </w:r>
      <w:r w:rsidR="3F79FE73" w:rsidRPr="3CF91640">
        <w:rPr>
          <w:rFonts w:eastAsia="Times New Roman"/>
        </w:rPr>
        <w:t>l</w:t>
      </w:r>
      <w:r w:rsidR="00F43896" w:rsidRPr="3CF91640">
        <w:rPr>
          <w:rFonts w:eastAsia="Times New Roman"/>
        </w:rPr>
        <w:t>ack</w:t>
      </w:r>
      <w:r w:rsidR="00F7297F">
        <w:rPr>
          <w:rFonts w:eastAsia="Times New Roman"/>
        </w:rPr>
        <w:t xml:space="preserve"> of </w:t>
      </w:r>
      <w:r w:rsidR="00F43896">
        <w:rPr>
          <w:rFonts w:eastAsia="Times New Roman"/>
        </w:rPr>
        <w:t xml:space="preserve">comprehensive </w:t>
      </w:r>
      <w:r w:rsidR="00F7297F">
        <w:rPr>
          <w:rFonts w:eastAsia="Times New Roman"/>
        </w:rPr>
        <w:t>data</w:t>
      </w:r>
      <w:r w:rsidR="00F43896">
        <w:rPr>
          <w:rFonts w:eastAsia="Times New Roman"/>
        </w:rPr>
        <w:t xml:space="preserve"> is also a </w:t>
      </w:r>
      <w:r w:rsidR="00F43896" w:rsidRPr="3CF91640">
        <w:rPr>
          <w:rFonts w:eastAsia="Times New Roman"/>
        </w:rPr>
        <w:t>constrain</w:t>
      </w:r>
      <w:r w:rsidR="0349D310" w:rsidRPr="3CF91640">
        <w:rPr>
          <w:rFonts w:eastAsia="Times New Roman"/>
        </w:rPr>
        <w:t>t</w:t>
      </w:r>
      <w:r w:rsidR="00F43896">
        <w:rPr>
          <w:rFonts w:eastAsia="Times New Roman"/>
        </w:rPr>
        <w:t xml:space="preserve"> for focusing on the </w:t>
      </w:r>
      <w:r w:rsidR="003220C4">
        <w:rPr>
          <w:rFonts w:eastAsia="Times New Roman"/>
        </w:rPr>
        <w:t>interaction between regulations and</w:t>
      </w:r>
      <w:r w:rsidR="00DA0E20">
        <w:rPr>
          <w:rFonts w:eastAsia="Times New Roman"/>
        </w:rPr>
        <w:t xml:space="preserve"> the </w:t>
      </w:r>
      <w:r w:rsidR="00DA0E20" w:rsidRPr="00925C0B">
        <w:rPr>
          <w:rFonts w:eastAsia="Times New Roman"/>
        </w:rPr>
        <w:t>performance of the most economically important sectors in the country, such as electronics.</w:t>
      </w:r>
      <w:r w:rsidR="00D7356D">
        <w:rPr>
          <w:rFonts w:eastAsia="Times New Roman"/>
        </w:rPr>
        <w:t xml:space="preserve"> Building a more robust dataset on </w:t>
      </w:r>
      <w:r w:rsidR="006F3383">
        <w:rPr>
          <w:rFonts w:eastAsia="Times New Roman"/>
        </w:rPr>
        <w:t>the regulatory environment would be key to increas</w:t>
      </w:r>
      <w:r w:rsidR="7D10DD59" w:rsidRPr="3CF91640">
        <w:rPr>
          <w:rFonts w:eastAsia="Times New Roman"/>
        </w:rPr>
        <w:t>ing</w:t>
      </w:r>
      <w:r w:rsidR="006F3383">
        <w:rPr>
          <w:rFonts w:eastAsia="Times New Roman"/>
        </w:rPr>
        <w:t xml:space="preserve"> the impact of the firm-level analysis and better guid</w:t>
      </w:r>
      <w:r w:rsidR="1F482739" w:rsidRPr="3CF91640">
        <w:rPr>
          <w:rFonts w:eastAsia="Times New Roman"/>
        </w:rPr>
        <w:t>ing</w:t>
      </w:r>
      <w:r w:rsidR="006F3383">
        <w:rPr>
          <w:rFonts w:eastAsia="Times New Roman"/>
        </w:rPr>
        <w:t xml:space="preserve"> the policymakers in the reform efforts</w:t>
      </w:r>
      <w:r w:rsidR="006D50D9">
        <w:rPr>
          <w:rFonts w:eastAsia="Times New Roman"/>
        </w:rPr>
        <w:t>.</w:t>
      </w:r>
      <w:r w:rsidR="00611246">
        <w:rPr>
          <w:rStyle w:val="FootnoteReference"/>
          <w:rFonts w:eastAsia="Times New Roman"/>
        </w:rPr>
        <w:footnoteReference w:id="33"/>
      </w:r>
      <w:r w:rsidR="00DE0EEF">
        <w:rPr>
          <w:rFonts w:eastAsia="Times New Roman"/>
        </w:rPr>
        <w:t xml:space="preserve"> </w:t>
      </w:r>
    </w:p>
    <w:p w14:paraId="71C41376" w14:textId="0C83D2E4" w:rsidR="00995FFF" w:rsidRPr="00EE464D" w:rsidRDefault="009868D3" w:rsidP="00AA6635">
      <w:pPr>
        <w:pStyle w:val="Heading1"/>
      </w:pPr>
      <w:bookmarkStart w:id="13" w:name="_Toc175228083"/>
      <w:r w:rsidRPr="00EE464D">
        <w:t xml:space="preserve">Assessing </w:t>
      </w:r>
      <w:r w:rsidR="0006472C" w:rsidRPr="00EE464D">
        <w:t>Viet Nam’s</w:t>
      </w:r>
      <w:r w:rsidRPr="00EE464D">
        <w:t xml:space="preserve"> Regulatory Reform </w:t>
      </w:r>
      <w:r w:rsidR="004C7C60" w:rsidRPr="00EE464D">
        <w:t>Program 2020-2025</w:t>
      </w:r>
      <w:r w:rsidR="007C23EB" w:rsidRPr="00EE464D">
        <w:t xml:space="preserve"> at mid-term</w:t>
      </w:r>
      <w:bookmarkEnd w:id="13"/>
      <w:r w:rsidR="000514D9">
        <w:t xml:space="preserve"> </w:t>
      </w:r>
    </w:p>
    <w:p w14:paraId="0FA86E73" w14:textId="77777777" w:rsidR="00016207" w:rsidRDefault="00016207" w:rsidP="00852B06">
      <w:pPr>
        <w:jc w:val="both"/>
        <w:rPr>
          <w:b/>
          <w:bCs/>
        </w:rPr>
      </w:pPr>
    </w:p>
    <w:p w14:paraId="747825D8" w14:textId="4BA1F1B1" w:rsidR="00852B06" w:rsidRPr="00852B06" w:rsidRDefault="00AD50D0" w:rsidP="00852B06">
      <w:pPr>
        <w:jc w:val="both"/>
      </w:pPr>
      <w:r w:rsidRPr="004D3CF1">
        <w:rPr>
          <w:b/>
          <w:bCs/>
        </w:rPr>
        <w:t xml:space="preserve">The previous section </w:t>
      </w:r>
      <w:r w:rsidR="00134E7A" w:rsidRPr="004D3CF1">
        <w:rPr>
          <w:b/>
          <w:bCs/>
        </w:rPr>
        <w:t xml:space="preserve">described </w:t>
      </w:r>
      <w:r w:rsidR="000F08F5" w:rsidRPr="004D3CF1">
        <w:rPr>
          <w:b/>
          <w:bCs/>
        </w:rPr>
        <w:t>the importance of good</w:t>
      </w:r>
      <w:r w:rsidR="006F5F88" w:rsidRPr="004D3CF1">
        <w:rPr>
          <w:b/>
          <w:bCs/>
        </w:rPr>
        <w:t xml:space="preserve"> business</w:t>
      </w:r>
      <w:r w:rsidR="000F08F5" w:rsidRPr="004D3CF1">
        <w:rPr>
          <w:b/>
          <w:bCs/>
        </w:rPr>
        <w:t xml:space="preserve"> regulations </w:t>
      </w:r>
      <w:r w:rsidR="006F5F88" w:rsidRPr="004D3CF1">
        <w:rPr>
          <w:b/>
          <w:bCs/>
        </w:rPr>
        <w:t>f</w:t>
      </w:r>
      <w:r w:rsidR="000F08F5" w:rsidRPr="004D3CF1">
        <w:rPr>
          <w:b/>
          <w:bCs/>
        </w:rPr>
        <w:t xml:space="preserve">or </w:t>
      </w:r>
      <w:r w:rsidR="006F5F88" w:rsidRPr="004D3CF1">
        <w:rPr>
          <w:b/>
          <w:bCs/>
        </w:rPr>
        <w:t>productivity growth</w:t>
      </w:r>
      <w:r w:rsidR="006F5F88">
        <w:rPr>
          <w:b/>
          <w:bCs/>
        </w:rPr>
        <w:t xml:space="preserve">; this section assesses </w:t>
      </w:r>
      <w:r w:rsidR="00EE52F7">
        <w:rPr>
          <w:b/>
          <w:bCs/>
        </w:rPr>
        <w:t xml:space="preserve">achievements and challenges of </w:t>
      </w:r>
      <w:r w:rsidR="003E6765">
        <w:rPr>
          <w:b/>
          <w:bCs/>
        </w:rPr>
        <w:t xml:space="preserve">Viet Nam’s efforts to improve </w:t>
      </w:r>
      <w:r w:rsidR="243EC6A5">
        <w:rPr>
          <w:b/>
          <w:bCs/>
        </w:rPr>
        <w:t xml:space="preserve">regulations </w:t>
      </w:r>
      <w:r w:rsidR="00CE2165">
        <w:rPr>
          <w:b/>
          <w:bCs/>
        </w:rPr>
        <w:t>in recent years</w:t>
      </w:r>
      <w:r w:rsidR="006F5F88" w:rsidRPr="004D3CF1">
        <w:rPr>
          <w:b/>
          <w:bCs/>
        </w:rPr>
        <w:t>.</w:t>
      </w:r>
      <w:r w:rsidR="006F5F88">
        <w:t xml:space="preserve"> </w:t>
      </w:r>
      <w:r w:rsidR="1FD2D5FB" w:rsidRPr="00B5542C">
        <w:t>T</w:t>
      </w:r>
      <w:r w:rsidR="00C64A4F" w:rsidRPr="00B5542C">
        <w:t xml:space="preserve">he </w:t>
      </w:r>
      <w:r w:rsidR="008E3A39" w:rsidRPr="00B5542C">
        <w:t xml:space="preserve">Government </w:t>
      </w:r>
      <w:r w:rsidR="00C64A4F" w:rsidRPr="00B5542C">
        <w:t xml:space="preserve">of Viet Nam has </w:t>
      </w:r>
      <w:r w:rsidR="00CE0062" w:rsidRPr="00B5542C">
        <w:t>undertaken several</w:t>
      </w:r>
      <w:r w:rsidR="00463D78" w:rsidRPr="00B5542C">
        <w:t xml:space="preserve"> </w:t>
      </w:r>
      <w:r w:rsidR="00D14428" w:rsidRPr="00B5542C">
        <w:t xml:space="preserve">reform </w:t>
      </w:r>
      <w:r w:rsidR="00463D78" w:rsidRPr="00B5542C">
        <w:t xml:space="preserve">initiatives </w:t>
      </w:r>
      <w:r w:rsidR="00F35E42" w:rsidRPr="00AA6635">
        <w:t xml:space="preserve">to improve regulations </w:t>
      </w:r>
      <w:r w:rsidR="00E25A7D" w:rsidRPr="00B5542C">
        <w:t>over the last two decades</w:t>
      </w:r>
      <w:r w:rsidR="00E25A7D">
        <w:t xml:space="preserve">. </w:t>
      </w:r>
      <w:r w:rsidR="00E25A7D" w:rsidRPr="00E25A7D">
        <w:t>The most recent is the r</w:t>
      </w:r>
      <w:r w:rsidR="00E25A7D" w:rsidRPr="004D3CF1">
        <w:rPr>
          <w:kern w:val="2"/>
          <w14:ligatures w14:val="standardContextual"/>
        </w:rPr>
        <w:t>egulatory reform program 2020-2025, governed by Resolution 68/NQ-CP, issued on May 12, 2020</w:t>
      </w:r>
      <w:r w:rsidR="00E25A7D">
        <w:rPr>
          <w:kern w:val="2"/>
          <w14:ligatures w14:val="standardContextual"/>
        </w:rPr>
        <w:t xml:space="preserve"> (hereinafter Resolution 68)</w:t>
      </w:r>
      <w:r w:rsidR="00E25A7D" w:rsidRPr="004D3CF1">
        <w:rPr>
          <w:kern w:val="2"/>
          <w14:ligatures w14:val="standardContextual"/>
        </w:rPr>
        <w:t>.</w:t>
      </w:r>
      <w:r w:rsidR="00E25A7D">
        <w:rPr>
          <w:b/>
          <w:bCs/>
          <w:kern w:val="2"/>
          <w14:ligatures w14:val="standardContextual"/>
        </w:rPr>
        <w:t xml:space="preserve"> </w:t>
      </w:r>
      <w:r w:rsidR="00852B06" w:rsidRPr="00852B06">
        <w:rPr>
          <w:kern w:val="2"/>
          <w14:ligatures w14:val="standardContextual"/>
        </w:rPr>
        <w:t xml:space="preserve">Resolution 68 set targets to simplify or </w:t>
      </w:r>
      <w:r w:rsidR="00EC5E29">
        <w:rPr>
          <w:kern w:val="2"/>
          <w14:ligatures w14:val="standardContextual"/>
        </w:rPr>
        <w:t>reduce</w:t>
      </w:r>
      <w:r w:rsidR="00EC5E29" w:rsidRPr="00852B06">
        <w:rPr>
          <w:kern w:val="2"/>
          <w14:ligatures w14:val="standardContextual"/>
        </w:rPr>
        <w:t xml:space="preserve"> </w:t>
      </w:r>
      <w:r w:rsidR="00852B06" w:rsidRPr="00852B06">
        <w:rPr>
          <w:kern w:val="2"/>
          <w14:ligatures w14:val="standardContextual"/>
        </w:rPr>
        <w:t>business regulations</w:t>
      </w:r>
      <w:r w:rsidR="00852B06" w:rsidRPr="00852B06">
        <w:rPr>
          <w:kern w:val="2"/>
          <w:vertAlign w:val="superscript"/>
          <w14:ligatures w14:val="standardContextual"/>
        </w:rPr>
        <w:footnoteReference w:id="34"/>
      </w:r>
      <w:r w:rsidR="00852B06" w:rsidRPr="00852B06">
        <w:rPr>
          <w:kern w:val="2"/>
          <w14:ligatures w14:val="standardContextual"/>
        </w:rPr>
        <w:t xml:space="preserve"> and reduce compliance costs by 20</w:t>
      </w:r>
      <w:r>
        <w:rPr>
          <w:kern w:val="2"/>
          <w14:ligatures w14:val="standardContextual"/>
        </w:rPr>
        <w:t xml:space="preserve"> percent</w:t>
      </w:r>
      <w:r w:rsidR="00852B06" w:rsidRPr="00852B06">
        <w:rPr>
          <w:kern w:val="2"/>
          <w14:ligatures w14:val="standardContextual"/>
        </w:rPr>
        <w:t xml:space="preserve"> during </w:t>
      </w:r>
      <w:r w:rsidR="00E25A7D">
        <w:rPr>
          <w:kern w:val="2"/>
          <w14:ligatures w14:val="standardContextual"/>
        </w:rPr>
        <w:t>its</w:t>
      </w:r>
      <w:r w:rsidR="00E25A7D" w:rsidRPr="00852B06">
        <w:rPr>
          <w:kern w:val="2"/>
          <w14:ligatures w14:val="standardContextual"/>
        </w:rPr>
        <w:t xml:space="preserve"> </w:t>
      </w:r>
      <w:r w:rsidR="00E25A7D">
        <w:rPr>
          <w:kern w:val="2"/>
          <w14:ligatures w14:val="standardContextual"/>
        </w:rPr>
        <w:t>five-year implementation period</w:t>
      </w:r>
      <w:r w:rsidR="00852B06" w:rsidRPr="00852B06">
        <w:rPr>
          <w:kern w:val="2"/>
          <w14:ligatures w14:val="standardContextual"/>
        </w:rPr>
        <w:t xml:space="preserve">. Box </w:t>
      </w:r>
      <w:r w:rsidR="008075F1">
        <w:rPr>
          <w:kern w:val="2"/>
          <w14:ligatures w14:val="standardContextual"/>
        </w:rPr>
        <w:t>1</w:t>
      </w:r>
      <w:r w:rsidR="008075F1" w:rsidRPr="00852B06">
        <w:rPr>
          <w:kern w:val="2"/>
          <w14:ligatures w14:val="standardContextual"/>
        </w:rPr>
        <w:t xml:space="preserve"> </w:t>
      </w:r>
      <w:r w:rsidR="00852B06" w:rsidRPr="00852B06">
        <w:rPr>
          <w:kern w:val="2"/>
          <w14:ligatures w14:val="standardContextual"/>
        </w:rPr>
        <w:t xml:space="preserve">summarizes the main provisions of Resolution 68. </w:t>
      </w:r>
      <w:r w:rsidR="004169A0">
        <w:rPr>
          <w:kern w:val="2"/>
          <w14:ligatures w14:val="standardContextual"/>
        </w:rPr>
        <w:t>This</w:t>
      </w:r>
      <w:r w:rsidR="007C23EB">
        <w:rPr>
          <w:kern w:val="2"/>
          <w14:ligatures w14:val="standardContextual"/>
        </w:rPr>
        <w:t xml:space="preserve"> </w:t>
      </w:r>
      <w:r w:rsidR="004169A0">
        <w:rPr>
          <w:kern w:val="2"/>
          <w14:ligatures w14:val="standardContextual"/>
        </w:rPr>
        <w:t>section assesses the implementation progress of Resolution 68</w:t>
      </w:r>
      <w:r w:rsidR="007C23EB">
        <w:rPr>
          <w:kern w:val="2"/>
          <w14:ligatures w14:val="standardContextual"/>
        </w:rPr>
        <w:t xml:space="preserve"> at mid-term (2020-2023)</w:t>
      </w:r>
      <w:r w:rsidR="004D62FA">
        <w:rPr>
          <w:kern w:val="2"/>
          <w14:ligatures w14:val="standardContextual"/>
        </w:rPr>
        <w:t xml:space="preserve"> and identifies strengths and areas of improvement to achieve its objectives</w:t>
      </w:r>
      <w:r w:rsidR="00421A37">
        <w:rPr>
          <w:kern w:val="2"/>
          <w14:ligatures w14:val="standardContextual"/>
        </w:rPr>
        <w:t xml:space="preserve"> in the short term</w:t>
      </w:r>
      <w:r w:rsidR="004D62FA">
        <w:rPr>
          <w:kern w:val="2"/>
          <w14:ligatures w14:val="standardContextual"/>
        </w:rPr>
        <w:t>, and</w:t>
      </w:r>
      <w:r w:rsidR="00421A37">
        <w:rPr>
          <w:kern w:val="2"/>
          <w14:ligatures w14:val="standardContextual"/>
        </w:rPr>
        <w:t xml:space="preserve"> </w:t>
      </w:r>
      <w:r w:rsidR="00881BA6">
        <w:rPr>
          <w:kern w:val="2"/>
          <w14:ligatures w14:val="standardContextual"/>
        </w:rPr>
        <w:t xml:space="preserve">to </w:t>
      </w:r>
      <w:r w:rsidR="00A2156C">
        <w:rPr>
          <w:kern w:val="2"/>
          <w14:ligatures w14:val="standardContextual"/>
        </w:rPr>
        <w:t>continue developing</w:t>
      </w:r>
      <w:r w:rsidR="00881BA6">
        <w:rPr>
          <w:kern w:val="2"/>
          <w14:ligatures w14:val="standardContextual"/>
        </w:rPr>
        <w:t xml:space="preserve"> the regulatory </w:t>
      </w:r>
      <w:r w:rsidR="00456138">
        <w:rPr>
          <w:kern w:val="2"/>
          <w14:ligatures w14:val="standardContextual"/>
        </w:rPr>
        <w:t xml:space="preserve">environment conducive to </w:t>
      </w:r>
      <w:r w:rsidR="002B20E6">
        <w:rPr>
          <w:kern w:val="2"/>
          <w14:ligatures w14:val="standardContextual"/>
        </w:rPr>
        <w:t xml:space="preserve">business dynamism and </w:t>
      </w:r>
      <w:r w:rsidR="00456138">
        <w:rPr>
          <w:kern w:val="2"/>
          <w14:ligatures w14:val="standardContextual"/>
        </w:rPr>
        <w:t>productivity growth in Viet Nam</w:t>
      </w:r>
      <w:r w:rsidR="00421A37">
        <w:rPr>
          <w:kern w:val="2"/>
          <w14:ligatures w14:val="standardContextual"/>
        </w:rPr>
        <w:t xml:space="preserve"> in the medium term</w:t>
      </w:r>
      <w:r w:rsidR="00456138">
        <w:rPr>
          <w:kern w:val="2"/>
          <w14:ligatures w14:val="standardContextual"/>
        </w:rPr>
        <w:t xml:space="preserve">. </w:t>
      </w:r>
    </w:p>
    <w:p w14:paraId="4050C196" w14:textId="2469AE32" w:rsidR="00852B06" w:rsidRPr="004D3CF1" w:rsidRDefault="00852B06" w:rsidP="00852B06">
      <w:pPr>
        <w:jc w:val="both"/>
        <w:rPr>
          <w:rFonts w:cstheme="minorHAnsi"/>
          <w:b/>
          <w:bCs/>
          <w:color w:val="4472C4" w:themeColor="accent1"/>
          <w:sz w:val="20"/>
          <w:szCs w:val="20"/>
        </w:rPr>
      </w:pPr>
      <w:r w:rsidRPr="004D3CF1">
        <w:rPr>
          <w:rFonts w:cstheme="minorHAnsi"/>
          <w:b/>
          <w:bCs/>
          <w:color w:val="4472C4" w:themeColor="accent1"/>
          <w:sz w:val="20"/>
          <w:szCs w:val="20"/>
        </w:rPr>
        <w:t xml:space="preserve">Box </w:t>
      </w:r>
      <w:r w:rsidR="008075F1" w:rsidRPr="004D3CF1">
        <w:rPr>
          <w:rFonts w:cstheme="minorHAnsi"/>
          <w:b/>
          <w:bCs/>
          <w:color w:val="4472C4" w:themeColor="accent1"/>
          <w:sz w:val="20"/>
          <w:szCs w:val="20"/>
        </w:rPr>
        <w:t>1</w:t>
      </w:r>
      <w:r w:rsidRPr="004D3CF1">
        <w:rPr>
          <w:rFonts w:cstheme="minorHAnsi"/>
          <w:b/>
          <w:bCs/>
          <w:color w:val="4472C4" w:themeColor="accent1"/>
          <w:sz w:val="20"/>
          <w:szCs w:val="20"/>
        </w:rPr>
        <w:t>. Main features of Resolution 68</w:t>
      </w:r>
    </w:p>
    <w:tbl>
      <w:tblPr>
        <w:tblStyle w:val="TableGrid3"/>
        <w:tblW w:w="0" w:type="auto"/>
        <w:shd w:val="clear" w:color="auto" w:fill="D9E2F3" w:themeFill="accent1" w:themeFillTint="33"/>
        <w:tblLook w:val="04A0" w:firstRow="1" w:lastRow="0" w:firstColumn="1" w:lastColumn="0" w:noHBand="0" w:noVBand="1"/>
      </w:tblPr>
      <w:tblGrid>
        <w:gridCol w:w="9350"/>
      </w:tblGrid>
      <w:tr w:rsidR="00852B06" w:rsidRPr="00852B06" w14:paraId="1BAB8B6D" w14:textId="77777777" w:rsidTr="15E5BA73">
        <w:tc>
          <w:tcPr>
            <w:tcW w:w="9350" w:type="dxa"/>
            <w:shd w:val="clear" w:color="auto" w:fill="D9E2F3" w:themeFill="accent1" w:themeFillTint="33"/>
          </w:tcPr>
          <w:p w14:paraId="751F638B" w14:textId="054C6924" w:rsidR="00852B06" w:rsidRPr="004D3CF1" w:rsidRDefault="00852B06" w:rsidP="00852B06">
            <w:pPr>
              <w:shd w:val="solid" w:color="D9E2F3" w:themeColor="accent1" w:themeTint="33" w:fill="auto"/>
              <w:jc w:val="both"/>
              <w:rPr>
                <w:kern w:val="2"/>
                <w:sz w:val="20"/>
                <w:szCs w:val="20"/>
                <w:shd w:val="solid" w:color="D9E2F3" w:themeColor="accent1" w:themeTint="33" w:fill="auto"/>
                <w14:ligatures w14:val="standardContextual"/>
              </w:rPr>
            </w:pPr>
            <w:r w:rsidRPr="004D3CF1">
              <w:rPr>
                <w:kern w:val="2"/>
                <w:sz w:val="20"/>
                <w:szCs w:val="20"/>
                <w:shd w:val="solid" w:color="D9E2F3" w:themeColor="accent1" w:themeTint="33" w:fill="auto"/>
                <w14:ligatures w14:val="standardContextual"/>
              </w:rPr>
              <w:t>Resolution 68/NQ-CP</w:t>
            </w:r>
            <w:r w:rsidR="0099372C" w:rsidRPr="004D3CF1">
              <w:rPr>
                <w:kern w:val="2"/>
                <w:sz w:val="20"/>
                <w:szCs w:val="20"/>
                <w:shd w:val="solid" w:color="D9E2F3" w:themeColor="accent1" w:themeTint="33" w:fill="auto"/>
                <w14:ligatures w14:val="standardContextual"/>
              </w:rPr>
              <w:t>,</w:t>
            </w:r>
            <w:r w:rsidRPr="004D3CF1">
              <w:rPr>
                <w:kern w:val="2"/>
                <w:sz w:val="20"/>
                <w:szCs w:val="20"/>
                <w:shd w:val="solid" w:color="D9E2F3" w:themeColor="accent1" w:themeTint="33" w:fill="auto"/>
                <w14:ligatures w14:val="standardContextual"/>
              </w:rPr>
              <w:t xml:space="preserve"> promulgated by the Prime Minister on May 12, 2020, sets out the Program to reduce or simplify regulations related to business activities in the period 2020-2025.  It aims at creating a more favorable environment for businesses and people to participate in business activities, reducing time and costs of compliance with regulations, and ensuring openness, transparency, and compliance with international treaties.</w:t>
            </w:r>
          </w:p>
          <w:p w14:paraId="503AB359" w14:textId="68332250" w:rsidR="00852B06" w:rsidRPr="004D3CF1" w:rsidRDefault="00852B06" w:rsidP="00852B06">
            <w:pPr>
              <w:numPr>
                <w:ilvl w:val="0"/>
                <w:numId w:val="10"/>
              </w:numPr>
              <w:shd w:val="solid" w:color="D9E2F3" w:themeColor="accent1" w:themeTint="33" w:fill="auto"/>
              <w:contextualSpacing/>
              <w:jc w:val="both"/>
              <w:rPr>
                <w:kern w:val="2"/>
                <w:sz w:val="20"/>
                <w:szCs w:val="20"/>
                <w:shd w:val="solid" w:color="D9E2F3" w:themeColor="accent1" w:themeTint="33" w:fill="auto"/>
                <w14:ligatures w14:val="standardContextual"/>
              </w:rPr>
            </w:pPr>
            <w:r w:rsidRPr="004D3CF1">
              <w:rPr>
                <w:kern w:val="2"/>
                <w:sz w:val="20"/>
                <w:szCs w:val="20"/>
                <w:shd w:val="solid" w:color="D9E2F3" w:themeColor="accent1" w:themeTint="33" w:fill="auto"/>
                <w14:ligatures w14:val="standardContextual"/>
              </w:rPr>
              <w:t>Its objectives are to i) reduce and simplify at least 20</w:t>
            </w:r>
            <w:r w:rsidR="00E67C2A" w:rsidRPr="004D3CF1">
              <w:rPr>
                <w:kern w:val="2"/>
                <w:sz w:val="20"/>
                <w:szCs w:val="20"/>
                <w:shd w:val="solid" w:color="D9E2F3" w:themeColor="accent1" w:themeTint="33" w:fill="auto"/>
                <w14:ligatures w14:val="standardContextual"/>
              </w:rPr>
              <w:t xml:space="preserve"> percent </w:t>
            </w:r>
            <w:r w:rsidRPr="004D3CF1">
              <w:rPr>
                <w:kern w:val="2"/>
                <w:sz w:val="20"/>
                <w:szCs w:val="20"/>
                <w:shd w:val="solid" w:color="D9E2F3" w:themeColor="accent1" w:themeTint="33" w:fill="auto"/>
                <w14:ligatures w14:val="standardContextual"/>
              </w:rPr>
              <w:t>of regulations and compliance costs related to business activities in the period 2020-2025, and ii) control the issuance of legal documents containing regulations pertaining to business activities to prevent the emergence of unnecessary, unreasonable, and illegal regulations.</w:t>
            </w:r>
          </w:p>
          <w:p w14:paraId="76FF2DE0" w14:textId="785E5B78" w:rsidR="00852B06" w:rsidRPr="004D3CF1" w:rsidRDefault="64D498D7" w:rsidP="15E5BA73">
            <w:pPr>
              <w:numPr>
                <w:ilvl w:val="0"/>
                <w:numId w:val="10"/>
              </w:numPr>
              <w:shd w:val="clear" w:color="auto" w:fill="D9E2F3" w:themeFill="accent1" w:themeFillTint="33"/>
              <w:contextualSpacing/>
              <w:jc w:val="both"/>
              <w:rPr>
                <w:kern w:val="2"/>
                <w:sz w:val="20"/>
                <w:szCs w:val="20"/>
                <w:shd w:val="solid" w:color="D9E2F3" w:themeColor="accent1" w:themeTint="33" w:fill="auto"/>
                <w14:ligatures w14:val="standardContextual"/>
              </w:rPr>
            </w:pPr>
            <w:r w:rsidRPr="004D3CF1">
              <w:rPr>
                <w:kern w:val="2"/>
                <w:sz w:val="20"/>
                <w:szCs w:val="20"/>
                <w:shd w:val="solid" w:color="D9E2F3" w:themeColor="accent1" w:themeTint="33" w:fill="auto"/>
                <w14:ligatures w14:val="standardContextual"/>
              </w:rPr>
              <w:t>The scope</w:t>
            </w:r>
            <w:r w:rsidR="4F80BDEC" w:rsidRPr="004D3CF1">
              <w:rPr>
                <w:kern w:val="2"/>
                <w:sz w:val="20"/>
                <w:szCs w:val="20"/>
                <w:shd w:val="solid" w:color="D9E2F3" w:themeColor="accent1" w:themeTint="33" w:fill="auto"/>
                <w14:ligatures w14:val="standardContextual"/>
              </w:rPr>
              <w:t xml:space="preserve"> of regulations covered by Resolution 68 are administrative procedures, </w:t>
            </w:r>
            <w:r w:rsidR="3E9235A4" w:rsidRPr="004D3CF1">
              <w:rPr>
                <w:kern w:val="2"/>
                <w:sz w:val="20"/>
                <w:szCs w:val="20"/>
                <w:shd w:val="solid" w:color="D9E2F3" w:themeColor="accent1" w:themeTint="33" w:fill="auto"/>
                <w14:ligatures w14:val="standardContextual"/>
              </w:rPr>
              <w:t xml:space="preserve">investment </w:t>
            </w:r>
            <w:r w:rsidR="4F80BDEC" w:rsidRPr="004D3CF1">
              <w:rPr>
                <w:kern w:val="2"/>
                <w:sz w:val="20"/>
                <w:szCs w:val="20"/>
                <w:shd w:val="solid" w:color="D9E2F3" w:themeColor="accent1" w:themeTint="33" w:fill="auto"/>
                <w14:ligatures w14:val="standardContextual"/>
              </w:rPr>
              <w:t xml:space="preserve">conditions, reporting requirements, </w:t>
            </w:r>
            <w:r w:rsidR="3E9235A4" w:rsidRPr="004D3CF1">
              <w:rPr>
                <w:kern w:val="2"/>
                <w:sz w:val="20"/>
                <w:szCs w:val="20"/>
                <w:shd w:val="solid" w:color="D9E2F3" w:themeColor="accent1" w:themeTint="33" w:fill="auto"/>
                <w14:ligatures w14:val="standardContextual"/>
              </w:rPr>
              <w:t xml:space="preserve">technical </w:t>
            </w:r>
            <w:r w:rsidR="61E3EE18" w:rsidRPr="004D3CF1">
              <w:rPr>
                <w:kern w:val="2"/>
                <w:sz w:val="20"/>
                <w:szCs w:val="20"/>
                <w:shd w:val="solid" w:color="D9E2F3" w:themeColor="accent1" w:themeTint="33" w:fill="auto"/>
                <w14:ligatures w14:val="standardContextual"/>
              </w:rPr>
              <w:t xml:space="preserve">regulations and </w:t>
            </w:r>
            <w:r w:rsidR="4F80BDEC" w:rsidRPr="004D3CF1">
              <w:rPr>
                <w:kern w:val="2"/>
                <w:sz w:val="20"/>
                <w:szCs w:val="20"/>
                <w:shd w:val="solid" w:color="D9E2F3" w:themeColor="accent1" w:themeTint="33" w:fill="auto"/>
                <w14:ligatures w14:val="standardContextual"/>
              </w:rPr>
              <w:t>standards</w:t>
            </w:r>
            <w:r w:rsidR="61E3EE18" w:rsidRPr="004D3CF1">
              <w:rPr>
                <w:kern w:val="2"/>
                <w:sz w:val="20"/>
                <w:szCs w:val="20"/>
                <w:shd w:val="solid" w:color="D9E2F3" w:themeColor="accent1" w:themeTint="33" w:fill="auto"/>
                <w14:ligatures w14:val="standardContextual"/>
              </w:rPr>
              <w:t>,</w:t>
            </w:r>
            <w:r w:rsidR="4F80BDEC" w:rsidRPr="004D3CF1">
              <w:rPr>
                <w:kern w:val="2"/>
                <w:sz w:val="20"/>
                <w:szCs w:val="20"/>
                <w:shd w:val="solid" w:color="D9E2F3" w:themeColor="accent1" w:themeTint="33" w:fill="auto"/>
                <w14:ligatures w14:val="standardContextual"/>
              </w:rPr>
              <w:t xml:space="preserve"> and </w:t>
            </w:r>
            <w:r w:rsidR="61E3EE18" w:rsidRPr="004D3CF1">
              <w:rPr>
                <w:kern w:val="2"/>
                <w:sz w:val="20"/>
                <w:szCs w:val="20"/>
                <w:shd w:val="solid" w:color="D9E2F3" w:themeColor="accent1" w:themeTint="33" w:fill="auto"/>
                <w14:ligatures w14:val="standardContextual"/>
              </w:rPr>
              <w:t>technical requirements</w:t>
            </w:r>
            <w:r w:rsidR="4F80BDEC" w:rsidRPr="004D3CF1">
              <w:rPr>
                <w:kern w:val="2"/>
                <w:sz w:val="20"/>
                <w:szCs w:val="20"/>
                <w:shd w:val="solid" w:color="D9E2F3" w:themeColor="accent1" w:themeTint="33" w:fill="auto"/>
                <w14:ligatures w14:val="standardContextual"/>
              </w:rPr>
              <w:t xml:space="preserve"> for import</w:t>
            </w:r>
            <w:r w:rsidR="61E3EE18" w:rsidRPr="004D3CF1">
              <w:rPr>
                <w:kern w:val="2"/>
                <w:sz w:val="20"/>
                <w:szCs w:val="20"/>
                <w:shd w:val="solid" w:color="D9E2F3" w:themeColor="accent1" w:themeTint="33" w:fill="auto"/>
                <w14:ligatures w14:val="standardContextual"/>
              </w:rPr>
              <w:t>s</w:t>
            </w:r>
            <w:r w:rsidR="4F80BDEC" w:rsidRPr="004D3CF1">
              <w:rPr>
                <w:kern w:val="2"/>
                <w:sz w:val="20"/>
                <w:szCs w:val="20"/>
                <w:shd w:val="solid" w:color="D9E2F3" w:themeColor="accent1" w:themeTint="33" w:fill="auto"/>
                <w14:ligatures w14:val="standardContextual"/>
              </w:rPr>
              <w:t xml:space="preserve"> and export</w:t>
            </w:r>
            <w:r w:rsidR="61E3EE18" w:rsidRPr="004D3CF1">
              <w:rPr>
                <w:kern w:val="2"/>
                <w:sz w:val="20"/>
                <w:szCs w:val="20"/>
                <w:shd w:val="solid" w:color="D9E2F3" w:themeColor="accent1" w:themeTint="33" w:fill="auto"/>
                <w14:ligatures w14:val="standardContextual"/>
              </w:rPr>
              <w:t>s</w:t>
            </w:r>
            <w:r w:rsidR="4F80BDEC" w:rsidRPr="004D3CF1">
              <w:rPr>
                <w:kern w:val="2"/>
                <w:sz w:val="20"/>
                <w:szCs w:val="20"/>
                <w:shd w:val="solid" w:color="D9E2F3" w:themeColor="accent1" w:themeTint="33" w:fill="auto"/>
                <w14:ligatures w14:val="standardContextual"/>
              </w:rPr>
              <w:t>.</w:t>
            </w:r>
          </w:p>
          <w:p w14:paraId="368FF4B2" w14:textId="77777777" w:rsidR="00852B06" w:rsidRPr="004D3CF1" w:rsidRDefault="00852B06" w:rsidP="00852B06">
            <w:pPr>
              <w:numPr>
                <w:ilvl w:val="0"/>
                <w:numId w:val="10"/>
              </w:numPr>
              <w:shd w:val="solid" w:color="D9E2F3" w:themeColor="accent1" w:themeTint="33" w:fill="auto"/>
              <w:contextualSpacing/>
              <w:jc w:val="both"/>
              <w:rPr>
                <w:kern w:val="2"/>
                <w:sz w:val="20"/>
                <w:szCs w:val="20"/>
                <w:shd w:val="solid" w:color="D9E2F3" w:themeColor="accent1" w:themeTint="33" w:fill="auto"/>
                <w14:ligatures w14:val="standardContextual"/>
              </w:rPr>
            </w:pPr>
            <w:r w:rsidRPr="004D3CF1">
              <w:rPr>
                <w:kern w:val="2"/>
                <w:sz w:val="20"/>
                <w:szCs w:val="20"/>
                <w:shd w:val="solid" w:color="D9E2F3" w:themeColor="accent1" w:themeTint="33" w:fill="auto"/>
                <w14:ligatures w14:val="standardContextual"/>
              </w:rPr>
              <w:t>Resolution 68 defines roles and responsibilities for implementation:</w:t>
            </w:r>
          </w:p>
          <w:p w14:paraId="4C70EA1D" w14:textId="5B7D4BD6" w:rsidR="004E5A72" w:rsidRPr="00A44771" w:rsidRDefault="004E5A72" w:rsidP="004E5A72">
            <w:pPr>
              <w:numPr>
                <w:ilvl w:val="1"/>
                <w:numId w:val="10"/>
              </w:numPr>
              <w:shd w:val="solid" w:color="D9E2F3" w:themeColor="accent1" w:themeTint="33" w:fill="auto"/>
              <w:ind w:left="1080"/>
              <w:contextualSpacing/>
              <w:jc w:val="both"/>
              <w:rPr>
                <w:kern w:val="2"/>
                <w:sz w:val="20"/>
                <w:szCs w:val="20"/>
                <w:shd w:val="solid" w:color="D9E2F3" w:themeColor="accent1" w:themeTint="33" w:fill="auto"/>
                <w14:ligatures w14:val="standardContextual"/>
              </w:rPr>
            </w:pPr>
            <w:r w:rsidRPr="004D3CF1">
              <w:rPr>
                <w:kern w:val="2"/>
                <w:sz w:val="20"/>
                <w:szCs w:val="20"/>
                <w:shd w:val="solid" w:color="D9E2F3" w:themeColor="accent1" w:themeTint="33" w:fill="auto"/>
                <w14:ligatures w14:val="standardContextual"/>
              </w:rPr>
              <w:t xml:space="preserve">The Office of the Government (OOG), represented by Administrative Procedure Control Agency (APCA), coordinates implementation and is responsible, among others, for reviewing plans proposed by </w:t>
            </w:r>
            <w:r w:rsidR="009E72E1">
              <w:rPr>
                <w:kern w:val="2"/>
                <w:sz w:val="20"/>
                <w:szCs w:val="20"/>
                <w:shd w:val="solid" w:color="D9E2F3" w:themeColor="accent1" w:themeTint="33" w:fill="auto"/>
                <w14:ligatures w14:val="standardContextual"/>
              </w:rPr>
              <w:t>m</w:t>
            </w:r>
            <w:r w:rsidRPr="00A44771">
              <w:rPr>
                <w:kern w:val="2"/>
                <w:sz w:val="20"/>
                <w:szCs w:val="20"/>
                <w:shd w:val="solid" w:color="D9E2F3" w:themeColor="accent1" w:themeTint="33" w:fill="auto"/>
                <w14:ligatures w14:val="standardContextual"/>
              </w:rPr>
              <w:t xml:space="preserve">inistries and </w:t>
            </w:r>
            <w:r w:rsidR="00253155" w:rsidRPr="00A44771">
              <w:rPr>
                <w:kern w:val="2"/>
                <w:sz w:val="20"/>
                <w:szCs w:val="20"/>
                <w:shd w:val="solid" w:color="D9E2F3" w:themeColor="accent1" w:themeTint="33" w:fill="auto"/>
                <w14:ligatures w14:val="standardContextual"/>
              </w:rPr>
              <w:t>other administrative</w:t>
            </w:r>
            <w:r w:rsidRPr="00A44771">
              <w:rPr>
                <w:kern w:val="2"/>
                <w:sz w:val="20"/>
                <w:szCs w:val="20"/>
                <w:shd w:val="solid" w:color="D9E2F3" w:themeColor="accent1" w:themeTint="33" w:fill="auto"/>
                <w14:ligatures w14:val="standardContextual"/>
              </w:rPr>
              <w:t xml:space="preserve"> agencies and making proposals to the Prime Minister on what regulations should be simplified or reduced, developing software to monitor business regulations, providing training to </w:t>
            </w:r>
            <w:r w:rsidR="009E72E1">
              <w:rPr>
                <w:kern w:val="2"/>
                <w:sz w:val="20"/>
                <w:szCs w:val="20"/>
                <w:shd w:val="solid" w:color="D9E2F3" w:themeColor="accent1" w:themeTint="33" w:fill="auto"/>
                <w14:ligatures w14:val="standardContextual"/>
              </w:rPr>
              <w:t>m</w:t>
            </w:r>
            <w:r w:rsidRPr="00A44771">
              <w:rPr>
                <w:kern w:val="2"/>
                <w:sz w:val="20"/>
                <w:szCs w:val="20"/>
                <w:shd w:val="solid" w:color="D9E2F3" w:themeColor="accent1" w:themeTint="33" w:fill="auto"/>
                <w14:ligatures w14:val="standardContextual"/>
              </w:rPr>
              <w:t xml:space="preserve">inistries and </w:t>
            </w:r>
            <w:r w:rsidR="00253155" w:rsidRPr="00A44771">
              <w:rPr>
                <w:kern w:val="2"/>
                <w:sz w:val="20"/>
                <w:szCs w:val="20"/>
                <w:shd w:val="solid" w:color="D9E2F3" w:themeColor="accent1" w:themeTint="33" w:fill="auto"/>
                <w14:ligatures w14:val="standardContextual"/>
              </w:rPr>
              <w:t>administrative</w:t>
            </w:r>
            <w:r w:rsidRPr="00A44771">
              <w:rPr>
                <w:kern w:val="2"/>
                <w:sz w:val="20"/>
                <w:szCs w:val="20"/>
                <w:shd w:val="solid" w:color="D9E2F3" w:themeColor="accent1" w:themeTint="33" w:fill="auto"/>
                <w14:ligatures w14:val="standardContextual"/>
              </w:rPr>
              <w:t xml:space="preserve"> agencies, gathering feedback from business organizations, and reporting on implementation and communicating results.</w:t>
            </w:r>
          </w:p>
          <w:p w14:paraId="4BAB1021" w14:textId="283256F4" w:rsidR="00852B06" w:rsidRPr="00A44771" w:rsidRDefault="00852B06" w:rsidP="110D198D">
            <w:pPr>
              <w:numPr>
                <w:ilvl w:val="1"/>
                <w:numId w:val="10"/>
              </w:numPr>
              <w:shd w:val="clear" w:color="auto" w:fill="D9E2F3" w:themeFill="accent1" w:themeFillTint="33"/>
              <w:ind w:left="1080"/>
              <w:contextualSpacing/>
              <w:jc w:val="both"/>
              <w:rPr>
                <w:kern w:val="2"/>
                <w:sz w:val="20"/>
                <w:szCs w:val="20"/>
                <w:shd w:val="solid" w:color="D9E2F3" w:themeColor="accent1" w:themeTint="33" w:fill="auto"/>
                <w14:ligatures w14:val="standardContextual"/>
              </w:rPr>
            </w:pPr>
            <w:r w:rsidRPr="00A44771">
              <w:rPr>
                <w:kern w:val="2"/>
                <w:sz w:val="20"/>
                <w:szCs w:val="20"/>
                <w:shd w:val="solid" w:color="D9E2F3" w:themeColor="accent1" w:themeTint="33" w:fill="auto"/>
                <w14:ligatures w14:val="standardContextual"/>
              </w:rPr>
              <w:lastRenderedPageBreak/>
              <w:t xml:space="preserve">Ministries and </w:t>
            </w:r>
            <w:r w:rsidR="10F227D2" w:rsidRPr="00A44771">
              <w:rPr>
                <w:kern w:val="2"/>
                <w:sz w:val="20"/>
                <w:szCs w:val="20"/>
                <w:shd w:val="solid" w:color="D9E2F3" w:themeColor="accent1" w:themeTint="33" w:fill="auto"/>
                <w14:ligatures w14:val="standardContextual"/>
              </w:rPr>
              <w:t>administrative</w:t>
            </w:r>
            <w:r w:rsidR="2EEE4B50" w:rsidRPr="00A44771">
              <w:rPr>
                <w:kern w:val="2"/>
                <w:sz w:val="20"/>
                <w:szCs w:val="20"/>
                <w:shd w:val="solid" w:color="D9E2F3" w:themeColor="accent1" w:themeTint="33" w:fill="auto"/>
                <w14:ligatures w14:val="standardContextual"/>
              </w:rPr>
              <w:t xml:space="preserve"> </w:t>
            </w:r>
            <w:r w:rsidRPr="00A44771">
              <w:rPr>
                <w:kern w:val="2"/>
                <w:sz w:val="20"/>
                <w:szCs w:val="20"/>
                <w:shd w:val="solid" w:color="D9E2F3" w:themeColor="accent1" w:themeTint="33" w:fill="auto"/>
                <w14:ligatures w14:val="standardContextual"/>
              </w:rPr>
              <w:t>agencies propose business regulations for simplification or elimination in action plans and</w:t>
            </w:r>
            <w:r w:rsidR="4B0EAD99" w:rsidRPr="00A44771">
              <w:rPr>
                <w:kern w:val="2"/>
                <w:sz w:val="20"/>
                <w:szCs w:val="20"/>
                <w:shd w:val="solid" w:color="D9E2F3" w:themeColor="accent1" w:themeTint="33" w:fill="auto"/>
                <w14:ligatures w14:val="standardContextual"/>
              </w:rPr>
              <w:t xml:space="preserve"> are expected to</w:t>
            </w:r>
            <w:r w:rsidRPr="00A44771">
              <w:rPr>
                <w:kern w:val="2"/>
                <w:sz w:val="20"/>
                <w:szCs w:val="20"/>
                <w:shd w:val="solid" w:color="D9E2F3" w:themeColor="accent1" w:themeTint="33" w:fill="auto"/>
                <w14:ligatures w14:val="standardContextual"/>
              </w:rPr>
              <w:t xml:space="preserve"> calculate compliance costs (including a baseline by October 2020). Ministries and agencies are also responsible for preparing and implementing annual plans to reduce and simplify business regulations, updating information on regulations and compliance costs, and for reporting progress to APCA on a semi-annual basis.</w:t>
            </w:r>
          </w:p>
          <w:p w14:paraId="38078FA5" w14:textId="261C274F" w:rsidR="00852B06" w:rsidRPr="0065001F" w:rsidRDefault="00852B06" w:rsidP="00852B06">
            <w:pPr>
              <w:numPr>
                <w:ilvl w:val="1"/>
                <w:numId w:val="10"/>
              </w:numPr>
              <w:shd w:val="solid" w:color="D9E2F3" w:themeColor="accent1" w:themeTint="33" w:fill="auto"/>
              <w:ind w:left="1080"/>
              <w:contextualSpacing/>
              <w:jc w:val="both"/>
              <w:rPr>
                <w:kern w:val="2"/>
                <w:sz w:val="20"/>
                <w:szCs w:val="20"/>
                <w:shd w:val="solid" w:color="D9E2F3" w:themeColor="accent1" w:themeTint="33" w:fill="auto"/>
                <w14:ligatures w14:val="standardContextual"/>
              </w:rPr>
            </w:pPr>
            <w:r w:rsidRPr="00A44771">
              <w:rPr>
                <w:kern w:val="2"/>
                <w:sz w:val="20"/>
                <w:szCs w:val="20"/>
                <w:shd w:val="solid" w:color="D9E2F3" w:themeColor="accent1" w:themeTint="33" w:fill="auto"/>
                <w14:ligatures w14:val="standardContextual"/>
              </w:rPr>
              <w:t>The Advisory Council for Administrative Procedure Reform</w:t>
            </w:r>
            <w:r w:rsidR="005F4DDC">
              <w:rPr>
                <w:kern w:val="2"/>
                <w:sz w:val="20"/>
                <w:szCs w:val="20"/>
                <w:shd w:val="solid" w:color="D9E2F3" w:themeColor="accent1" w:themeTint="33" w:fill="auto"/>
                <w14:ligatures w14:val="standardContextual"/>
              </w:rPr>
              <w:t xml:space="preserve"> (ACAP</w:t>
            </w:r>
            <w:r w:rsidR="00923D33">
              <w:rPr>
                <w:kern w:val="2"/>
                <w:sz w:val="20"/>
                <w:szCs w:val="20"/>
                <w:shd w:val="solid" w:color="D9E2F3" w:themeColor="accent1" w:themeTint="33" w:fill="auto"/>
                <w14:ligatures w14:val="standardContextual"/>
              </w:rPr>
              <w:t>R</w:t>
            </w:r>
            <w:r w:rsidR="005F4DDC">
              <w:rPr>
                <w:kern w:val="2"/>
                <w:sz w:val="20"/>
                <w:szCs w:val="20"/>
                <w:shd w:val="solid" w:color="D9E2F3" w:themeColor="accent1" w:themeTint="33" w:fill="auto"/>
                <w14:ligatures w14:val="standardContextual"/>
              </w:rPr>
              <w:t>)</w:t>
            </w:r>
            <w:r w:rsidRPr="00A44771">
              <w:rPr>
                <w:kern w:val="2"/>
                <w:sz w:val="20"/>
                <w:szCs w:val="20"/>
                <w:shd w:val="solid" w:color="D9E2F3" w:themeColor="accent1" w:themeTint="33" w:fill="auto"/>
                <w14:ligatures w14:val="standardContextual"/>
              </w:rPr>
              <w:t xml:space="preserve">, which comprises </w:t>
            </w:r>
            <w:r w:rsidR="00A878F2" w:rsidRPr="00A44771">
              <w:rPr>
                <w:kern w:val="2"/>
                <w:sz w:val="20"/>
                <w:szCs w:val="20"/>
                <w:shd w:val="solid" w:color="D9E2F3" w:themeColor="accent1" w:themeTint="33" w:fill="auto"/>
                <w14:ligatures w14:val="standardContextual"/>
              </w:rPr>
              <w:t xml:space="preserve">21 </w:t>
            </w:r>
            <w:r w:rsidRPr="00A44771">
              <w:rPr>
                <w:kern w:val="2"/>
                <w:sz w:val="20"/>
                <w:szCs w:val="20"/>
                <w:shd w:val="solid" w:color="D9E2F3" w:themeColor="accent1" w:themeTint="33" w:fill="auto"/>
                <w14:ligatures w14:val="standardContextual"/>
              </w:rPr>
              <w:t>business representatives</w:t>
            </w:r>
            <w:r w:rsidR="005F4DDC" w:rsidRPr="00A44771">
              <w:rPr>
                <w:kern w:val="2"/>
                <w:sz w:val="20"/>
                <w:szCs w:val="20"/>
                <w:shd w:val="solid" w:color="D9E2F3" w:themeColor="accent1" w:themeTint="33" w:fill="auto"/>
                <w14:ligatures w14:val="standardContextual"/>
              </w:rPr>
              <w:t>,</w:t>
            </w:r>
            <w:r w:rsidR="007B121C" w:rsidRPr="0065001F">
              <w:rPr>
                <w:rStyle w:val="FootnoteReference"/>
                <w:kern w:val="2"/>
                <w:sz w:val="20"/>
                <w:szCs w:val="20"/>
                <w:shd w:val="solid" w:color="D9E2F3" w:themeColor="accent1" w:themeTint="33" w:fill="auto"/>
                <w14:ligatures w14:val="standardContextual"/>
              </w:rPr>
              <w:footnoteReference w:id="35"/>
            </w:r>
            <w:r w:rsidRPr="0065001F">
              <w:rPr>
                <w:kern w:val="2"/>
                <w:sz w:val="20"/>
                <w:szCs w:val="20"/>
                <w:shd w:val="solid" w:color="D9E2F3" w:themeColor="accent1" w:themeTint="33" w:fill="auto"/>
                <w14:ligatures w14:val="standardContextual"/>
              </w:rPr>
              <w:t xml:space="preserve"> is tasked with mobilizing private sector</w:t>
            </w:r>
            <w:r w:rsidR="00927ED8" w:rsidRPr="0065001F">
              <w:rPr>
                <w:kern w:val="2"/>
                <w:sz w:val="20"/>
                <w:szCs w:val="20"/>
                <w:shd w:val="solid" w:color="D9E2F3" w:themeColor="accent1" w:themeTint="33" w:fill="auto"/>
                <w14:ligatures w14:val="standardContextual"/>
              </w:rPr>
              <w:t xml:space="preserve"> and citize</w:t>
            </w:r>
            <w:r w:rsidR="00E843C2" w:rsidRPr="0065001F">
              <w:rPr>
                <w:kern w:val="2"/>
                <w:sz w:val="20"/>
                <w:szCs w:val="20"/>
                <w:shd w:val="solid" w:color="D9E2F3" w:themeColor="accent1" w:themeTint="33" w:fill="auto"/>
                <w14:ligatures w14:val="standardContextual"/>
              </w:rPr>
              <w:t>n</w:t>
            </w:r>
            <w:r w:rsidR="00927ED8" w:rsidRPr="0065001F">
              <w:rPr>
                <w:kern w:val="2"/>
                <w:sz w:val="20"/>
                <w:szCs w:val="20"/>
                <w:shd w:val="solid" w:color="D9E2F3" w:themeColor="accent1" w:themeTint="33" w:fill="auto"/>
                <w14:ligatures w14:val="standardContextual"/>
              </w:rPr>
              <w:t>s’ feedback</w:t>
            </w:r>
            <w:r w:rsidRPr="0065001F">
              <w:rPr>
                <w:kern w:val="2"/>
                <w:sz w:val="20"/>
                <w:szCs w:val="20"/>
                <w:shd w:val="solid" w:color="D9E2F3" w:themeColor="accent1" w:themeTint="33" w:fill="auto"/>
                <w14:ligatures w14:val="standardContextual"/>
              </w:rPr>
              <w:t xml:space="preserve"> and proposals for simplification to the Prime Minister. </w:t>
            </w:r>
          </w:p>
          <w:p w14:paraId="66E18643" w14:textId="4C777340" w:rsidR="005F4DDC" w:rsidRPr="0065001F" w:rsidRDefault="00852B06" w:rsidP="00852B06">
            <w:pPr>
              <w:numPr>
                <w:ilvl w:val="1"/>
                <w:numId w:val="10"/>
              </w:numPr>
              <w:shd w:val="solid" w:color="D9E2F3" w:themeColor="accent1" w:themeTint="33" w:fill="auto"/>
              <w:ind w:left="1080"/>
              <w:contextualSpacing/>
              <w:jc w:val="both"/>
              <w:rPr>
                <w:kern w:val="2"/>
                <w:sz w:val="20"/>
                <w:szCs w:val="20"/>
                <w:shd w:val="solid" w:color="D9E2F3" w:themeColor="accent1" w:themeTint="33" w:fill="auto"/>
                <w14:ligatures w14:val="standardContextual"/>
              </w:rPr>
            </w:pPr>
            <w:r w:rsidRPr="0065001F">
              <w:rPr>
                <w:kern w:val="2"/>
                <w:sz w:val="20"/>
                <w:szCs w:val="20"/>
                <w:shd w:val="solid" w:color="D9E2F3" w:themeColor="accent1" w:themeTint="33" w:fill="auto"/>
                <w14:ligatures w14:val="standardContextual"/>
              </w:rPr>
              <w:t xml:space="preserve">Specific </w:t>
            </w:r>
            <w:r w:rsidR="009E72E1">
              <w:rPr>
                <w:kern w:val="2"/>
                <w:sz w:val="20"/>
                <w:szCs w:val="20"/>
                <w:shd w:val="solid" w:color="D9E2F3" w:themeColor="accent1" w:themeTint="33" w:fill="auto"/>
                <w14:ligatures w14:val="standardContextual"/>
              </w:rPr>
              <w:t>m</w:t>
            </w:r>
            <w:r w:rsidR="009E72E1" w:rsidRPr="0065001F">
              <w:rPr>
                <w:kern w:val="2"/>
                <w:sz w:val="20"/>
                <w:szCs w:val="20"/>
                <w:shd w:val="solid" w:color="D9E2F3" w:themeColor="accent1" w:themeTint="33" w:fill="auto"/>
                <w14:ligatures w14:val="standardContextual"/>
              </w:rPr>
              <w:t xml:space="preserve">inistries </w:t>
            </w:r>
            <w:r w:rsidRPr="0065001F">
              <w:rPr>
                <w:kern w:val="2"/>
                <w:sz w:val="20"/>
                <w:szCs w:val="20"/>
                <w:shd w:val="solid" w:color="D9E2F3" w:themeColor="accent1" w:themeTint="33" w:fill="auto"/>
                <w14:ligatures w14:val="standardContextual"/>
              </w:rPr>
              <w:t>have responsibilities based on their mandates, in coordination with other government entities: i) the Ministry of Justice with regards of appraising legal documents introducing or amending business regulations; and ii) the Ministry of Finance with regards to simplification and digitalization of customs-related procedures.</w:t>
            </w:r>
          </w:p>
          <w:p w14:paraId="50A6A6FF" w14:textId="56E80FF7" w:rsidR="00852B06" w:rsidRPr="0065001F" w:rsidRDefault="2BA42E30" w:rsidP="15E5BA73">
            <w:pPr>
              <w:numPr>
                <w:ilvl w:val="0"/>
                <w:numId w:val="10"/>
              </w:numPr>
              <w:shd w:val="clear" w:color="auto" w:fill="D9E2F3" w:themeFill="accent1" w:themeFillTint="33"/>
              <w:contextualSpacing/>
              <w:jc w:val="both"/>
              <w:rPr>
                <w:kern w:val="2"/>
                <w:sz w:val="20"/>
                <w:szCs w:val="20"/>
                <w:shd w:val="solid" w:color="D9E2F3" w:themeColor="accent1" w:themeTint="33" w:fill="auto"/>
                <w14:ligatures w14:val="standardContextual"/>
              </w:rPr>
            </w:pPr>
            <w:r w:rsidRPr="0065001F">
              <w:rPr>
                <w:kern w:val="2"/>
                <w:sz w:val="20"/>
                <w:szCs w:val="20"/>
                <w:shd w:val="solid" w:color="D9E2F3" w:themeColor="accent1" w:themeTint="33" w:fill="auto"/>
                <w14:ligatures w14:val="standardContextual"/>
              </w:rPr>
              <w:t>Resolution 68</w:t>
            </w:r>
            <w:r w:rsidR="4F80BDEC" w:rsidRPr="0065001F">
              <w:rPr>
                <w:kern w:val="2"/>
                <w:sz w:val="20"/>
                <w:szCs w:val="20"/>
                <w:shd w:val="solid" w:color="D9E2F3" w:themeColor="accent1" w:themeTint="33" w:fill="auto"/>
                <w14:ligatures w14:val="standardContextual"/>
              </w:rPr>
              <w:t xml:space="preserve"> promotes the </w:t>
            </w:r>
            <w:r w:rsidR="376D8446" w:rsidRPr="0065001F">
              <w:rPr>
                <w:kern w:val="2"/>
                <w:sz w:val="20"/>
                <w:szCs w:val="20"/>
                <w:shd w:val="solid" w:color="D9E2F3" w:themeColor="accent1" w:themeTint="33" w:fill="auto"/>
                <w14:ligatures w14:val="standardContextual"/>
              </w:rPr>
              <w:t>implementation of</w:t>
            </w:r>
            <w:r w:rsidR="4F80BDEC" w:rsidRPr="0065001F">
              <w:rPr>
                <w:kern w:val="2"/>
                <w:sz w:val="20"/>
                <w:szCs w:val="20"/>
                <w:shd w:val="solid" w:color="D9E2F3" w:themeColor="accent1" w:themeTint="33" w:fill="auto"/>
                <w14:ligatures w14:val="standardContextual"/>
              </w:rPr>
              <w:t xml:space="preserve"> the single window for administrative procedures (Decree 61/2018/ND-CP) and the processing of administrative procedures by electronic means (Decree 45/2020/ND-CP).</w:t>
            </w:r>
          </w:p>
          <w:p w14:paraId="24617542" w14:textId="77777777" w:rsidR="00852B06" w:rsidRPr="0065001F" w:rsidRDefault="00852B06" w:rsidP="00852B06">
            <w:pPr>
              <w:jc w:val="both"/>
              <w:rPr>
                <w:kern w:val="2"/>
                <w:sz w:val="20"/>
                <w:szCs w:val="20"/>
                <w:shd w:val="solid" w:color="D9E2F3" w:themeColor="accent1" w:themeTint="33" w:fill="auto"/>
                <w14:ligatures w14:val="standardContextual"/>
              </w:rPr>
            </w:pPr>
          </w:p>
          <w:p w14:paraId="49DC18AD" w14:textId="1A9FAB4C" w:rsidR="00852B06" w:rsidRPr="00852B06" w:rsidRDefault="4F80BDEC" w:rsidP="00852B06">
            <w:pPr>
              <w:jc w:val="both"/>
              <w:rPr>
                <w:b/>
                <w:bCs/>
                <w:kern w:val="2"/>
                <w:sz w:val="20"/>
                <w:szCs w:val="20"/>
                <w14:ligatures w14:val="standardContextual"/>
              </w:rPr>
            </w:pPr>
            <w:r w:rsidRPr="005F4DDC">
              <w:rPr>
                <w:kern w:val="2"/>
                <w:sz w:val="20"/>
                <w:szCs w:val="20"/>
                <w14:ligatures w14:val="standardContextual"/>
              </w:rPr>
              <w:t>Source: Authors</w:t>
            </w:r>
            <w:r w:rsidR="10F6C35A" w:rsidRPr="005F4DDC">
              <w:rPr>
                <w:kern w:val="2"/>
                <w:sz w:val="20"/>
                <w:szCs w:val="20"/>
                <w14:ligatures w14:val="standardContextual"/>
              </w:rPr>
              <w:t xml:space="preserve">’ </w:t>
            </w:r>
            <w:r w:rsidR="61EE296B" w:rsidRPr="005F4DDC">
              <w:rPr>
                <w:kern w:val="2"/>
                <w:sz w:val="20"/>
                <w:szCs w:val="20"/>
                <w14:ligatures w14:val="standardContextual"/>
              </w:rPr>
              <w:t xml:space="preserve">compilation </w:t>
            </w:r>
            <w:r w:rsidRPr="005F4DDC">
              <w:rPr>
                <w:kern w:val="2"/>
                <w:sz w:val="20"/>
                <w:szCs w:val="20"/>
                <w14:ligatures w14:val="standardContextual"/>
              </w:rPr>
              <w:t>based on Resolution 68/NQ-CP</w:t>
            </w:r>
            <w:r w:rsidR="2BA42E30" w:rsidRPr="005F4DDC">
              <w:rPr>
                <w:kern w:val="2"/>
                <w:sz w:val="20"/>
                <w:szCs w:val="20"/>
                <w14:ligatures w14:val="standardContextual"/>
              </w:rPr>
              <w:t>.</w:t>
            </w:r>
          </w:p>
        </w:tc>
      </w:tr>
    </w:tbl>
    <w:p w14:paraId="1F10A1A0" w14:textId="77777777" w:rsidR="00852B06" w:rsidRPr="00852B06" w:rsidRDefault="00852B06" w:rsidP="00852B06">
      <w:pPr>
        <w:jc w:val="both"/>
        <w:rPr>
          <w:b/>
          <w:bCs/>
          <w:kern w:val="2"/>
          <w:highlight w:val="yellow"/>
          <w14:ligatures w14:val="standardContextual"/>
        </w:rPr>
      </w:pPr>
    </w:p>
    <w:p w14:paraId="5C154679" w14:textId="252C2D81" w:rsidR="00852B06" w:rsidRPr="00852B06" w:rsidRDefault="4F80BDEC" w:rsidP="00852B06">
      <w:pPr>
        <w:jc w:val="both"/>
        <w:rPr>
          <w:color w:val="000000" w:themeColor="text1"/>
          <w:kern w:val="2"/>
          <w14:ligatures w14:val="standardContextual"/>
        </w:rPr>
      </w:pPr>
      <w:r w:rsidRPr="00852B06">
        <w:rPr>
          <w:b/>
          <w:bCs/>
          <w:kern w:val="2"/>
          <w14:ligatures w14:val="standardContextual"/>
        </w:rPr>
        <w:t>The regulatory reform program</w:t>
      </w:r>
      <w:r w:rsidR="4A528CDE">
        <w:rPr>
          <w:b/>
          <w:bCs/>
          <w:kern w:val="2"/>
          <w14:ligatures w14:val="standardContextual"/>
        </w:rPr>
        <w:t xml:space="preserve"> in Resolution 68</w:t>
      </w:r>
      <w:r w:rsidRPr="00852B06">
        <w:rPr>
          <w:b/>
          <w:bCs/>
          <w:kern w:val="2"/>
          <w14:ligatures w14:val="standardContextual"/>
        </w:rPr>
        <w:t xml:space="preserve"> builds on regulatory simplification initiatives</w:t>
      </w:r>
      <w:r w:rsidRPr="00852B06">
        <w:rPr>
          <w:kern w:val="2"/>
          <w14:ligatures w14:val="standardContextual"/>
        </w:rPr>
        <w:t xml:space="preserve"> </w:t>
      </w:r>
      <w:r w:rsidRPr="00852B06">
        <w:rPr>
          <w:b/>
          <w:bCs/>
          <w:kern w:val="2"/>
          <w14:ligatures w14:val="standardContextual"/>
        </w:rPr>
        <w:t>over the last three decades.</w:t>
      </w:r>
      <w:r w:rsidRPr="00852B06">
        <w:rPr>
          <w:kern w:val="2"/>
          <w14:ligatures w14:val="standardContextual"/>
        </w:rPr>
        <w:t xml:space="preserve"> As part of its economic reforms, Viet Nam </w:t>
      </w:r>
      <w:r w:rsidRPr="4E68FC03">
        <w:rPr>
          <w:kern w:val="2"/>
          <w14:ligatures w14:val="standardContextual"/>
        </w:rPr>
        <w:t>has undertaken several waves of regulatory reform programs which streamlined the stock of regulations</w:t>
      </w:r>
      <w:r w:rsidR="60F935FC" w:rsidRPr="4E68FC03">
        <w:rPr>
          <w:kern w:val="2"/>
          <w14:ligatures w14:val="standardContextual"/>
        </w:rPr>
        <w:t xml:space="preserve"> and </w:t>
      </w:r>
      <w:r w:rsidR="5A79CB2E" w:rsidRPr="4E68FC03">
        <w:rPr>
          <w:kern w:val="2"/>
          <w14:ligatures w14:val="standardContextual"/>
        </w:rPr>
        <w:t>put in place quality control measures</w:t>
      </w:r>
      <w:r w:rsidRPr="4E68FC03">
        <w:rPr>
          <w:kern w:val="2"/>
          <w14:ligatures w14:val="standardContextual"/>
        </w:rPr>
        <w:t xml:space="preserve">. The approach outlined in Resolution 68 is inspired by the most successful of these programs, Project 30 (2007-2010), which </w:t>
      </w:r>
      <w:r w:rsidR="364FBBA4" w:rsidRPr="4E68FC03">
        <w:rPr>
          <w:kern w:val="2"/>
          <w14:ligatures w14:val="standardContextual"/>
        </w:rPr>
        <w:t xml:space="preserve">reviewed </w:t>
      </w:r>
      <w:r w:rsidR="3CE9C7A3" w:rsidRPr="4E68FC03">
        <w:rPr>
          <w:kern w:val="2"/>
          <w14:ligatures w14:val="standardContextual"/>
        </w:rPr>
        <w:t>over 6,000 administrative procedures and streamlined them</w:t>
      </w:r>
      <w:r w:rsidR="4D2488AF" w:rsidRPr="4E68FC03">
        <w:rPr>
          <w:kern w:val="2"/>
          <w14:ligatures w14:val="standardContextual"/>
        </w:rPr>
        <w:t>, following a so-called guillotine approach to reviewing the stock of regulation</w:t>
      </w:r>
      <w:r w:rsidR="216A27BC" w:rsidRPr="4E68FC03">
        <w:rPr>
          <w:kern w:val="2"/>
          <w14:ligatures w14:val="standardContextual"/>
        </w:rPr>
        <w:t>, which is</w:t>
      </w:r>
      <w:r w:rsidRPr="4E68FC03">
        <w:rPr>
          <w:kern w:val="2"/>
          <w14:ligatures w14:val="standardContextual"/>
        </w:rPr>
        <w:t xml:space="preserve"> estimated to have reduced administrative procedure costs </w:t>
      </w:r>
      <w:r w:rsidR="00B80244">
        <w:t xml:space="preserve">by about </w:t>
      </w:r>
      <w:r w:rsidRPr="4E68FC03">
        <w:rPr>
          <w:kern w:val="2"/>
          <w14:ligatures w14:val="standardContextual"/>
        </w:rPr>
        <w:t>USD 1.6 billion per year.</w:t>
      </w:r>
      <w:r w:rsidR="00852B06" w:rsidRPr="4E68FC03">
        <w:rPr>
          <w:kern w:val="2"/>
          <w:vertAlign w:val="superscript"/>
          <w14:ligatures w14:val="standardContextual"/>
        </w:rPr>
        <w:footnoteReference w:id="36"/>
      </w:r>
      <w:r w:rsidRPr="4E68FC03">
        <w:rPr>
          <w:kern w:val="2"/>
          <w14:ligatures w14:val="standardContextual"/>
        </w:rPr>
        <w:t xml:space="preserve"> APCA was also set up in the context of Project 30. A second wave of simplification led to</w:t>
      </w:r>
      <w:r w:rsidRPr="4E68FC03">
        <w:rPr>
          <w:color w:val="000000"/>
          <w14:ligatures w14:val="standardContextual"/>
        </w:rPr>
        <w:t xml:space="preserve"> the reduction and simplification of 3,893 business conditions and 6,776 import-export related regulations, and savings of USD 260 million per year.</w:t>
      </w:r>
      <w:r w:rsidR="00852B06" w:rsidRPr="4E68FC03">
        <w:rPr>
          <w:color w:val="000000"/>
          <w:vertAlign w:val="superscript"/>
          <w14:ligatures w14:val="standardContextual"/>
        </w:rPr>
        <w:footnoteReference w:id="37"/>
      </w:r>
      <w:r w:rsidRPr="4E68FC03">
        <w:rPr>
          <w:color w:val="000000"/>
          <w14:ligatures w14:val="standardContextual"/>
        </w:rPr>
        <w:t xml:space="preserve"> </w:t>
      </w:r>
    </w:p>
    <w:p w14:paraId="373D7782" w14:textId="18DB4147" w:rsidR="00852B06" w:rsidRPr="00852B06" w:rsidRDefault="4F80BDEC" w:rsidP="00852B06">
      <w:pPr>
        <w:jc w:val="both"/>
      </w:pPr>
      <w:r w:rsidRPr="00852B06">
        <w:rPr>
          <w:b/>
          <w:bCs/>
          <w:kern w:val="2"/>
          <w14:ligatures w14:val="standardContextual"/>
        </w:rPr>
        <w:t>A mid-term assessment of Resolution 68 needs to consider broader elements of regulatory governance.</w:t>
      </w:r>
      <w:r w:rsidRPr="00852B06">
        <w:rPr>
          <w:kern w:val="2"/>
          <w14:ligatures w14:val="standardContextual"/>
        </w:rPr>
        <w:t xml:space="preserve"> Viet Nam has adopted good regulatory practices in the formulation of laws and regulations, including Regulatory Impact Assessments (RIAs)</w:t>
      </w:r>
      <w:r w:rsidR="00852B06" w:rsidRPr="00852B06">
        <w:rPr>
          <w:kern w:val="2"/>
          <w:vertAlign w:val="superscript"/>
          <w14:ligatures w14:val="standardContextual"/>
        </w:rPr>
        <w:footnoteReference w:id="38"/>
      </w:r>
      <w:r w:rsidR="26EB44FA">
        <w:rPr>
          <w:kern w:val="2"/>
          <w14:ligatures w14:val="standardContextual"/>
        </w:rPr>
        <w:t>, Standard Cost Model (SCM),</w:t>
      </w:r>
      <w:r w:rsidRPr="00852B06">
        <w:rPr>
          <w:kern w:val="2"/>
          <w14:ligatures w14:val="standardContextual"/>
        </w:rPr>
        <w:t xml:space="preserve"> and stakeholder engagement.</w:t>
      </w:r>
      <w:r w:rsidR="00852B06" w:rsidRPr="00852B06">
        <w:rPr>
          <w:kern w:val="2"/>
          <w:vertAlign w:val="superscript"/>
          <w14:ligatures w14:val="standardContextual"/>
        </w:rPr>
        <w:footnoteReference w:id="39"/>
      </w:r>
      <w:r w:rsidRPr="00852B06">
        <w:rPr>
          <w:kern w:val="2"/>
          <w14:ligatures w14:val="standardContextual"/>
        </w:rPr>
        <w:t xml:space="preserve"> These are enshrined in the Law on the Promulgation and Legal Normative Documents, also called ‘Law on </w:t>
      </w:r>
      <w:r w:rsidRPr="00852B06">
        <w:rPr>
          <w:kern w:val="2"/>
          <w14:ligatures w14:val="standardContextual"/>
        </w:rPr>
        <w:lastRenderedPageBreak/>
        <w:t>Laws’</w:t>
      </w:r>
      <w:r w:rsidR="00B42118">
        <w:rPr>
          <w:rStyle w:val="FootnoteReference"/>
          <w:kern w:val="2"/>
          <w14:ligatures w14:val="standardContextual"/>
        </w:rPr>
        <w:footnoteReference w:id="40"/>
      </w:r>
      <w:r w:rsidRPr="00852B06">
        <w:rPr>
          <w:kern w:val="2"/>
          <w14:ligatures w14:val="standardContextual"/>
        </w:rPr>
        <w:t xml:space="preserve"> and </w:t>
      </w:r>
      <w:r w:rsidR="33BB1BE6">
        <w:rPr>
          <w:kern w:val="2"/>
          <w14:ligatures w14:val="standardContextual"/>
        </w:rPr>
        <w:t xml:space="preserve">the Decree on </w:t>
      </w:r>
      <w:r w:rsidR="53036963">
        <w:rPr>
          <w:kern w:val="2"/>
          <w14:ligatures w14:val="standardContextual"/>
        </w:rPr>
        <w:t>Controlling Administrative Procedures</w:t>
      </w:r>
      <w:r w:rsidR="00E70BB5">
        <w:rPr>
          <w:kern w:val="2"/>
          <w14:ligatures w14:val="standardContextual"/>
        </w:rPr>
        <w:t xml:space="preserve"> (Decree 63)</w:t>
      </w:r>
      <w:r w:rsidR="274E670A">
        <w:rPr>
          <w:kern w:val="2"/>
          <w14:ligatures w14:val="standardContextual"/>
        </w:rPr>
        <w:t>,</w:t>
      </w:r>
      <w:r w:rsidR="007E37C6">
        <w:rPr>
          <w:rStyle w:val="FootnoteReference"/>
          <w:kern w:val="2"/>
          <w14:ligatures w14:val="standardContextual"/>
        </w:rPr>
        <w:footnoteReference w:id="41"/>
      </w:r>
      <w:r w:rsidR="274E670A">
        <w:rPr>
          <w:kern w:val="2"/>
          <w14:ligatures w14:val="standardContextual"/>
        </w:rPr>
        <w:t xml:space="preserve"> and other legal documents</w:t>
      </w:r>
      <w:r w:rsidR="7593077D">
        <w:rPr>
          <w:kern w:val="2"/>
          <w14:ligatures w14:val="standardContextual"/>
        </w:rPr>
        <w:t>.</w:t>
      </w:r>
      <w:r w:rsidRPr="00852B06">
        <w:rPr>
          <w:kern w:val="2"/>
          <w14:ligatures w14:val="standardContextual"/>
        </w:rPr>
        <w:t xml:space="preserve">  When it comes to regulatory delivery, Viet Nam has promoted the establishment of one-stop shops </w:t>
      </w:r>
      <w:r w:rsidR="3C227BE8">
        <w:rPr>
          <w:kern w:val="2"/>
          <w14:ligatures w14:val="standardContextual"/>
        </w:rPr>
        <w:t xml:space="preserve">(OSS) </w:t>
      </w:r>
      <w:r w:rsidRPr="00852B06">
        <w:rPr>
          <w:kern w:val="2"/>
          <w14:ligatures w14:val="standardContextual"/>
        </w:rPr>
        <w:t>at the national and subnational (provincial, district and commune) level</w:t>
      </w:r>
      <w:r w:rsidR="3E1235EB">
        <w:rPr>
          <w:kern w:val="2"/>
          <w14:ligatures w14:val="standardContextual"/>
        </w:rPr>
        <w:t>s</w:t>
      </w:r>
      <w:r w:rsidRPr="00852B06">
        <w:rPr>
          <w:kern w:val="2"/>
          <w14:ligatures w14:val="standardContextual"/>
        </w:rPr>
        <w:t xml:space="preserve"> where administrative procedures can be completed under one roof</w:t>
      </w:r>
      <w:r w:rsidR="7593077D">
        <w:rPr>
          <w:kern w:val="2"/>
          <w14:ligatures w14:val="standardContextual"/>
        </w:rPr>
        <w:t xml:space="preserve">, and inter-related procedures are </w:t>
      </w:r>
      <w:r w:rsidR="3F141C02">
        <w:rPr>
          <w:kern w:val="2"/>
          <w14:ligatures w14:val="standardContextual"/>
        </w:rPr>
        <w:t>integrated</w:t>
      </w:r>
      <w:r w:rsidRPr="00852B06">
        <w:rPr>
          <w:kern w:val="2"/>
          <w14:ligatures w14:val="standardContextual"/>
        </w:rPr>
        <w:t xml:space="preserve">. </w:t>
      </w:r>
      <w:r w:rsidR="55CF6E8C">
        <w:rPr>
          <w:kern w:val="2"/>
          <w14:ligatures w14:val="standardContextual"/>
        </w:rPr>
        <w:t>T</w:t>
      </w:r>
      <w:r w:rsidRPr="00852B06">
        <w:rPr>
          <w:kern w:val="2"/>
          <w14:ligatures w14:val="standardContextual"/>
        </w:rPr>
        <w:t>here are more than 12,000 OSS across the country</w:t>
      </w:r>
      <w:r w:rsidR="1934C61E">
        <w:rPr>
          <w:kern w:val="2"/>
          <w14:ligatures w14:val="standardContextual"/>
        </w:rPr>
        <w:t>, reaching to all communes</w:t>
      </w:r>
      <w:r w:rsidR="0E3C6F83">
        <w:rPr>
          <w:kern w:val="2"/>
          <w14:ligatures w14:val="standardContextual"/>
        </w:rPr>
        <w:t xml:space="preserve"> in all 63 provinces</w:t>
      </w:r>
      <w:r w:rsidRPr="00852B06">
        <w:rPr>
          <w:kern w:val="2"/>
          <w14:ligatures w14:val="standardContextual"/>
        </w:rPr>
        <w:t>. Increasingly, government services are being digitized. The National Public Service Portal (NPSP),</w:t>
      </w:r>
      <w:r w:rsidR="00C818DB">
        <w:rPr>
          <w:rStyle w:val="FootnoteReference"/>
          <w:kern w:val="2"/>
          <w14:ligatures w14:val="standardContextual"/>
        </w:rPr>
        <w:footnoteReference w:id="42"/>
      </w:r>
      <w:r w:rsidRPr="00852B06">
        <w:rPr>
          <w:kern w:val="2"/>
          <w14:ligatures w14:val="standardContextual"/>
        </w:rPr>
        <w:t xml:space="preserve"> launched in December 2019, aims to offer an online single point of contact for receiving government services for businesses and citizens. The NPSP and initiatives for digital government to business (G2B) service delivery are discussed </w:t>
      </w:r>
      <w:r w:rsidR="39A99F6C">
        <w:rPr>
          <w:kern w:val="2"/>
          <w14:ligatures w14:val="standardContextual"/>
        </w:rPr>
        <w:t xml:space="preserve">further </w:t>
      </w:r>
      <w:r w:rsidRPr="00852B06">
        <w:rPr>
          <w:kern w:val="2"/>
          <w14:ligatures w14:val="standardContextual"/>
        </w:rPr>
        <w:t xml:space="preserve">below. </w:t>
      </w:r>
    </w:p>
    <w:p w14:paraId="12FCA14A" w14:textId="265A4897" w:rsidR="00411D66" w:rsidRDefault="00852B06" w:rsidP="00852B06">
      <w:pPr>
        <w:jc w:val="both"/>
      </w:pPr>
      <w:r w:rsidRPr="00852B06">
        <w:rPr>
          <w:b/>
          <w:bCs/>
          <w:kern w:val="2"/>
          <w14:ligatures w14:val="standardContextual"/>
        </w:rPr>
        <w:t xml:space="preserve">The </w:t>
      </w:r>
      <w:r w:rsidR="00620AF8">
        <w:rPr>
          <w:b/>
          <w:bCs/>
          <w:kern w:val="2"/>
          <w14:ligatures w14:val="standardContextual"/>
        </w:rPr>
        <w:t xml:space="preserve">assessment of </w:t>
      </w:r>
      <w:r w:rsidRPr="00852B06">
        <w:rPr>
          <w:b/>
          <w:bCs/>
          <w:kern w:val="2"/>
          <w14:ligatures w14:val="standardContextual"/>
        </w:rPr>
        <w:t xml:space="preserve">the regulatory reform program 2020-2025 </w:t>
      </w:r>
      <w:r w:rsidR="00620AF8">
        <w:rPr>
          <w:b/>
          <w:bCs/>
          <w:kern w:val="2"/>
          <w14:ligatures w14:val="standardContextual"/>
        </w:rPr>
        <w:t>at mid-t</w:t>
      </w:r>
      <w:r w:rsidR="00CB4BA3">
        <w:rPr>
          <w:b/>
          <w:bCs/>
          <w:kern w:val="2"/>
          <w14:ligatures w14:val="standardContextual"/>
        </w:rPr>
        <w:t>erm is presented below</w:t>
      </w:r>
      <w:r w:rsidRPr="00852B06">
        <w:rPr>
          <w:b/>
          <w:bCs/>
          <w:kern w:val="2"/>
          <w14:ligatures w14:val="standardContextual"/>
        </w:rPr>
        <w:t>.</w:t>
      </w:r>
      <w:r w:rsidRPr="00852B06">
        <w:rPr>
          <w:kern w:val="2"/>
          <w14:ligatures w14:val="standardContextual"/>
        </w:rPr>
        <w:t xml:space="preserve"> The first part describes the results achieved </w:t>
      </w:r>
      <w:r w:rsidR="1A558A90" w:rsidRPr="00852B06">
        <w:rPr>
          <w:kern w:val="2"/>
          <w14:ligatures w14:val="standardContextual"/>
        </w:rPr>
        <w:t xml:space="preserve">up to </w:t>
      </w:r>
      <w:r w:rsidR="16B553F5">
        <w:t>December</w:t>
      </w:r>
      <w:r w:rsidR="002347E1">
        <w:t xml:space="preserve"> 2023</w:t>
      </w:r>
      <w:r w:rsidRPr="00852B06">
        <w:rPr>
          <w:kern w:val="2"/>
          <w14:ligatures w14:val="standardContextual"/>
        </w:rPr>
        <w:t xml:space="preserve"> against the program’s stated quantitative targets</w:t>
      </w:r>
      <w:r w:rsidR="002F6B80">
        <w:rPr>
          <w:kern w:val="2"/>
          <w14:ligatures w14:val="standardContextual"/>
        </w:rPr>
        <w:t xml:space="preserve"> based on data shared by APCA/OOG</w:t>
      </w:r>
      <w:r w:rsidRPr="00852B06">
        <w:rPr>
          <w:kern w:val="2"/>
          <w14:ligatures w14:val="standardContextual"/>
        </w:rPr>
        <w:t xml:space="preserve">. The second part provides a </w:t>
      </w:r>
      <w:r w:rsidR="002F6B80">
        <w:rPr>
          <w:kern w:val="2"/>
          <w14:ligatures w14:val="standardContextual"/>
        </w:rPr>
        <w:t>qualitative</w:t>
      </w:r>
      <w:r w:rsidRPr="00852B06">
        <w:rPr>
          <w:kern w:val="2"/>
          <w14:ligatures w14:val="standardContextual"/>
        </w:rPr>
        <w:t xml:space="preserve"> assessment of the program’s objectives, including their relevance, and </w:t>
      </w:r>
      <w:r w:rsidR="00263BE2">
        <w:rPr>
          <w:kern w:val="2"/>
          <w14:ligatures w14:val="standardContextual"/>
        </w:rPr>
        <w:t>key</w:t>
      </w:r>
      <w:r w:rsidR="00D545DA">
        <w:rPr>
          <w:kern w:val="2"/>
          <w14:ligatures w14:val="standardContextual"/>
        </w:rPr>
        <w:t xml:space="preserve"> aspects of the</w:t>
      </w:r>
      <w:r w:rsidR="00D545DA" w:rsidRPr="00852B06">
        <w:rPr>
          <w:kern w:val="2"/>
          <w14:ligatures w14:val="standardContextual"/>
        </w:rPr>
        <w:t xml:space="preserve"> </w:t>
      </w:r>
      <w:r w:rsidRPr="00852B06">
        <w:rPr>
          <w:kern w:val="2"/>
          <w14:ligatures w14:val="standardContextual"/>
        </w:rPr>
        <w:t>program implementation</w:t>
      </w:r>
      <w:r w:rsidR="003E2FC8">
        <w:rPr>
          <w:kern w:val="2"/>
          <w14:ligatures w14:val="standardContextual"/>
        </w:rPr>
        <w:t xml:space="preserve">: </w:t>
      </w:r>
      <w:r w:rsidR="002C501C">
        <w:rPr>
          <w:kern w:val="2"/>
          <w14:ligatures w14:val="standardContextual"/>
        </w:rPr>
        <w:t xml:space="preserve">institutional oversight, stakeholder management, </w:t>
      </w:r>
      <w:r w:rsidR="00A31CEC">
        <w:rPr>
          <w:kern w:val="2"/>
          <w14:ligatures w14:val="standardContextual"/>
        </w:rPr>
        <w:t xml:space="preserve">technical capacity and resources, monitoring and reporting, </w:t>
      </w:r>
      <w:r w:rsidR="002C501C">
        <w:rPr>
          <w:kern w:val="2"/>
          <w14:ligatures w14:val="standardContextual"/>
        </w:rPr>
        <w:t>and the use of technology for regulatory delivery</w:t>
      </w:r>
      <w:r w:rsidRPr="00852B06">
        <w:rPr>
          <w:kern w:val="2"/>
          <w14:ligatures w14:val="standardContextual"/>
        </w:rPr>
        <w:t xml:space="preserve">. </w:t>
      </w:r>
      <w:r w:rsidRPr="00A31CEC">
        <w:rPr>
          <w:kern w:val="2"/>
          <w14:ligatures w14:val="standardContextual"/>
        </w:rPr>
        <w:t>Based on APCA</w:t>
      </w:r>
      <w:r w:rsidR="00D545DA" w:rsidRPr="00A31CEC">
        <w:rPr>
          <w:kern w:val="2"/>
          <w14:ligatures w14:val="standardContextual"/>
        </w:rPr>
        <w:t>/OOG</w:t>
      </w:r>
      <w:r w:rsidRPr="00A31CEC">
        <w:rPr>
          <w:kern w:val="2"/>
          <w14:ligatures w14:val="standardContextual"/>
        </w:rPr>
        <w:t xml:space="preserve">’s request the review focuses more specifically on administrative procedures related to licensing of business activities, </w:t>
      </w:r>
      <w:r w:rsidR="005875FA">
        <w:rPr>
          <w:kern w:val="2"/>
          <w14:ligatures w14:val="standardContextual"/>
        </w:rPr>
        <w:t xml:space="preserve">based </w:t>
      </w:r>
      <w:r w:rsidR="00CD74BE">
        <w:rPr>
          <w:kern w:val="2"/>
          <w14:ligatures w14:val="standardContextual"/>
        </w:rPr>
        <w:t xml:space="preserve">on the BLIMS assessment, </w:t>
      </w:r>
      <w:r w:rsidRPr="00A31CEC">
        <w:rPr>
          <w:kern w:val="2"/>
          <w14:ligatures w14:val="standardContextual"/>
        </w:rPr>
        <w:t>which are used to illustrate with examples some of the results achieved and identify areas for improvement.</w:t>
      </w:r>
      <w:r w:rsidRPr="00852B06">
        <w:rPr>
          <w:kern w:val="2"/>
          <w14:ligatures w14:val="standardContextual"/>
        </w:rPr>
        <w:t xml:space="preserve"> </w:t>
      </w:r>
    </w:p>
    <w:p w14:paraId="56D6FAEE" w14:textId="650B9EC5" w:rsidR="00620AF8" w:rsidRDefault="4F80BDEC" w:rsidP="15E5BA73">
      <w:pPr>
        <w:pStyle w:val="Heading2"/>
        <w:numPr>
          <w:ilvl w:val="1"/>
          <w:numId w:val="13"/>
        </w:numPr>
        <w:spacing w:before="100" w:beforeAutospacing="1" w:after="100" w:afterAutospacing="1"/>
      </w:pPr>
      <w:bookmarkStart w:id="14" w:name="_Toc175228084"/>
      <w:r>
        <w:t xml:space="preserve">Results </w:t>
      </w:r>
      <w:r w:rsidR="398F27C2">
        <w:t xml:space="preserve">at mid-term: </w:t>
      </w:r>
      <w:r w:rsidR="52F4CB85">
        <w:t xml:space="preserve">noticeable </w:t>
      </w:r>
      <w:r w:rsidR="77F1821D">
        <w:t xml:space="preserve">progress in simplification but </w:t>
      </w:r>
      <w:r w:rsidR="52F4CB85">
        <w:t>difficulty in</w:t>
      </w:r>
      <w:r w:rsidR="52378FED">
        <w:t xml:space="preserve"> estimat</w:t>
      </w:r>
      <w:r w:rsidR="4127F908">
        <w:t>ing</w:t>
      </w:r>
      <w:r w:rsidR="52378FED">
        <w:t xml:space="preserve"> compliance costs</w:t>
      </w:r>
      <w:bookmarkEnd w:id="14"/>
    </w:p>
    <w:tbl>
      <w:tblPr>
        <w:tblStyle w:val="TableGrid"/>
        <w:tblW w:w="0" w:type="auto"/>
        <w:shd w:val="clear" w:color="auto" w:fill="FFFFFF" w:themeFill="background1"/>
        <w:tblLook w:val="04A0" w:firstRow="1" w:lastRow="0" w:firstColumn="1" w:lastColumn="0" w:noHBand="0" w:noVBand="1"/>
      </w:tblPr>
      <w:tblGrid>
        <w:gridCol w:w="9350"/>
      </w:tblGrid>
      <w:tr w:rsidR="001F5E87" w14:paraId="019F2E5C" w14:textId="77777777" w:rsidTr="00AA6635">
        <w:tc>
          <w:tcPr>
            <w:tcW w:w="9350" w:type="dxa"/>
            <w:shd w:val="clear" w:color="auto" w:fill="D9E2F3" w:themeFill="accent1" w:themeFillTint="33"/>
          </w:tcPr>
          <w:p w14:paraId="73A88B3B" w14:textId="7D833911" w:rsidR="000F7824" w:rsidRPr="00016207" w:rsidRDefault="00340884" w:rsidP="00016207">
            <w:pPr>
              <w:jc w:val="center"/>
              <w:rPr>
                <w:b/>
                <w:bCs/>
                <w:kern w:val="2"/>
                <w14:ligatures w14:val="standardContextual"/>
              </w:rPr>
            </w:pPr>
            <w:r w:rsidRPr="00016207">
              <w:rPr>
                <w:b/>
                <w:bCs/>
                <w:kern w:val="2"/>
                <w14:ligatures w14:val="standardContextual"/>
              </w:rPr>
              <w:t xml:space="preserve">Key findings on the </w:t>
            </w:r>
            <w:r w:rsidR="009B590F" w:rsidRPr="00016207">
              <w:rPr>
                <w:b/>
                <w:bCs/>
                <w:kern w:val="2"/>
                <w14:ligatures w14:val="standardContextual"/>
              </w:rPr>
              <w:t>m</w:t>
            </w:r>
            <w:r w:rsidR="000F7824" w:rsidRPr="00016207">
              <w:rPr>
                <w:b/>
                <w:bCs/>
                <w:kern w:val="2"/>
                <w14:ligatures w14:val="standardContextual"/>
              </w:rPr>
              <w:t>id-term achievements of Resolution 68</w:t>
            </w:r>
            <w:r w:rsidR="00BE1961">
              <w:rPr>
                <w:rStyle w:val="FootnoteReference"/>
                <w:b/>
                <w:bCs/>
                <w:kern w:val="2"/>
                <w14:ligatures w14:val="standardContextual"/>
              </w:rPr>
              <w:footnoteReference w:id="43"/>
            </w:r>
          </w:p>
          <w:p w14:paraId="105A33C3" w14:textId="77777777" w:rsidR="00016207" w:rsidRDefault="00016207" w:rsidP="00852B06">
            <w:pPr>
              <w:jc w:val="both"/>
              <w:rPr>
                <w:kern w:val="2"/>
                <w14:ligatures w14:val="standardContextual"/>
              </w:rPr>
            </w:pPr>
          </w:p>
          <w:p w14:paraId="4E4BC224" w14:textId="68194886" w:rsidR="001F5E87" w:rsidRPr="000F7824" w:rsidRDefault="00016207" w:rsidP="00852B06">
            <w:pPr>
              <w:jc w:val="both"/>
              <w:rPr>
                <w:kern w:val="2"/>
                <w14:ligatures w14:val="standardContextual"/>
              </w:rPr>
            </w:pPr>
            <w:r>
              <w:rPr>
                <w:kern w:val="2"/>
                <w14:ligatures w14:val="standardContextual"/>
              </w:rPr>
              <w:t xml:space="preserve">During 2020-23, </w:t>
            </w:r>
            <w:r w:rsidR="0003338F" w:rsidRPr="000F7824">
              <w:rPr>
                <w:kern w:val="2"/>
                <w14:ligatures w14:val="standardContextual"/>
              </w:rPr>
              <w:t xml:space="preserve">Resolution 68 has </w:t>
            </w:r>
            <w:r w:rsidR="007532BE" w:rsidRPr="000F7824">
              <w:rPr>
                <w:kern w:val="2"/>
                <w14:ligatures w14:val="standardContextual"/>
              </w:rPr>
              <w:t xml:space="preserve">achieved </w:t>
            </w:r>
            <w:r>
              <w:rPr>
                <w:kern w:val="2"/>
                <w14:ligatures w14:val="standardContextual"/>
              </w:rPr>
              <w:t>the following results</w:t>
            </w:r>
            <w:r w:rsidR="007532BE" w:rsidRPr="000F7824">
              <w:rPr>
                <w:kern w:val="2"/>
                <w14:ligatures w14:val="standardContextual"/>
              </w:rPr>
              <w:t>:</w:t>
            </w:r>
          </w:p>
          <w:p w14:paraId="5BD930A5" w14:textId="0C378CE0" w:rsidR="00F446F2" w:rsidRDefault="00E26D75" w:rsidP="00F446F2">
            <w:pPr>
              <w:pStyle w:val="ListParagraph"/>
              <w:numPr>
                <w:ilvl w:val="0"/>
                <w:numId w:val="29"/>
              </w:numPr>
              <w:jc w:val="both"/>
              <w:rPr>
                <w:kern w:val="2"/>
                <w14:ligatures w14:val="standardContextual"/>
              </w:rPr>
            </w:pPr>
            <w:r>
              <w:rPr>
                <w:kern w:val="2"/>
                <w14:ligatures w14:val="standardContextual"/>
              </w:rPr>
              <w:t xml:space="preserve">2789 specific business regulations </w:t>
            </w:r>
            <w:r w:rsidR="00B622AE">
              <w:rPr>
                <w:kern w:val="2"/>
                <w14:ligatures w14:val="standardContextual"/>
              </w:rPr>
              <w:t xml:space="preserve">were simplified or </w:t>
            </w:r>
            <w:r w:rsidR="00B07999">
              <w:rPr>
                <w:kern w:val="2"/>
                <w14:ligatures w14:val="standardContextual"/>
              </w:rPr>
              <w:t>eliminated.</w:t>
            </w:r>
          </w:p>
          <w:p w14:paraId="03959ADD" w14:textId="709F8B8A" w:rsidR="00E26D75" w:rsidRDefault="0075372F" w:rsidP="00F446F2">
            <w:pPr>
              <w:pStyle w:val="ListParagraph"/>
              <w:numPr>
                <w:ilvl w:val="0"/>
                <w:numId w:val="29"/>
              </w:numPr>
              <w:jc w:val="both"/>
              <w:rPr>
                <w:kern w:val="2"/>
                <w14:ligatures w14:val="standardContextual"/>
              </w:rPr>
            </w:pPr>
            <w:r w:rsidRPr="00B960F5">
              <w:rPr>
                <w:kern w:val="2"/>
                <w14:ligatures w14:val="standardContextual"/>
              </w:rPr>
              <w:t>2</w:t>
            </w:r>
            <w:r>
              <w:rPr>
                <w:kern w:val="2"/>
                <w14:ligatures w14:val="standardContextual"/>
              </w:rPr>
              <w:t>44</w:t>
            </w:r>
            <w:r w:rsidRPr="00B960F5">
              <w:rPr>
                <w:kern w:val="2"/>
                <w14:ligatures w14:val="standardContextual"/>
              </w:rPr>
              <w:t xml:space="preserve"> </w:t>
            </w:r>
            <w:r w:rsidR="00B960F5" w:rsidRPr="00B960F5">
              <w:rPr>
                <w:kern w:val="2"/>
                <w14:ligatures w14:val="standardContextual"/>
              </w:rPr>
              <w:t>legal documents</w:t>
            </w:r>
            <w:r w:rsidR="00B960F5">
              <w:rPr>
                <w:kern w:val="2"/>
                <w14:ligatures w14:val="standardContextual"/>
              </w:rPr>
              <w:t xml:space="preserve"> were revised </w:t>
            </w:r>
            <w:r w:rsidR="00B622AE">
              <w:rPr>
                <w:kern w:val="2"/>
                <w14:ligatures w14:val="standardContextual"/>
              </w:rPr>
              <w:t xml:space="preserve">to introduce the </w:t>
            </w:r>
            <w:r w:rsidR="00B07999">
              <w:rPr>
                <w:kern w:val="2"/>
                <w14:ligatures w14:val="standardContextual"/>
              </w:rPr>
              <w:t>reforms.</w:t>
            </w:r>
          </w:p>
          <w:p w14:paraId="567BAD4E" w14:textId="19851720" w:rsidR="00E8740A" w:rsidRDefault="00E8740A" w:rsidP="00F446F2">
            <w:pPr>
              <w:pStyle w:val="ListParagraph"/>
              <w:numPr>
                <w:ilvl w:val="0"/>
                <w:numId w:val="29"/>
              </w:numPr>
              <w:jc w:val="both"/>
              <w:rPr>
                <w:kern w:val="2"/>
                <w14:ligatures w14:val="standardContextual"/>
              </w:rPr>
            </w:pPr>
            <w:r>
              <w:rPr>
                <w:kern w:val="2"/>
                <w14:ligatures w14:val="standardContextual"/>
              </w:rPr>
              <w:t xml:space="preserve">There is evidence to suggest that the </w:t>
            </w:r>
            <w:r w:rsidR="000F7824">
              <w:rPr>
                <w:kern w:val="2"/>
                <w14:ligatures w14:val="standardContextual"/>
              </w:rPr>
              <w:t xml:space="preserve">Resolution’s </w:t>
            </w:r>
            <w:r>
              <w:rPr>
                <w:kern w:val="2"/>
                <w14:ligatures w14:val="standardContextual"/>
              </w:rPr>
              <w:t xml:space="preserve">target of </w:t>
            </w:r>
            <w:r w:rsidR="000F7824">
              <w:rPr>
                <w:kern w:val="2"/>
                <w14:ligatures w14:val="standardContextual"/>
              </w:rPr>
              <w:t>simplifying or cutting 20% of business regulations will be achieved.</w:t>
            </w:r>
          </w:p>
          <w:p w14:paraId="2B952554" w14:textId="48A1CAA6" w:rsidR="00B07999" w:rsidRPr="000F7824" w:rsidRDefault="63C73CF2" w:rsidP="00AA6635">
            <w:pPr>
              <w:pStyle w:val="ListParagraph"/>
              <w:numPr>
                <w:ilvl w:val="0"/>
                <w:numId w:val="29"/>
              </w:numPr>
              <w:jc w:val="both"/>
            </w:pPr>
            <w:r>
              <w:t xml:space="preserve">A set of key performance indicators was adopted to monitor the progress in </w:t>
            </w:r>
            <w:r w:rsidR="5021311D">
              <w:t xml:space="preserve">regulatory reform, </w:t>
            </w:r>
            <w:r w:rsidR="5E6C413F">
              <w:t>transparency</w:t>
            </w:r>
            <w:r w:rsidR="5B796EB8">
              <w:t>,</w:t>
            </w:r>
            <w:r w:rsidR="5021311D">
              <w:t xml:space="preserve"> and improvement of public service delivery</w:t>
            </w:r>
            <w:r w:rsidR="5B796EB8">
              <w:t xml:space="preserve"> (Prime Minister’s Decision 766).</w:t>
            </w:r>
          </w:p>
          <w:p w14:paraId="0445B78C" w14:textId="62858943" w:rsidR="007532BE" w:rsidRPr="00AA6635" w:rsidRDefault="007532BE" w:rsidP="00852B06">
            <w:pPr>
              <w:jc w:val="both"/>
              <w:rPr>
                <w:kern w:val="2"/>
                <w14:ligatures w14:val="standardContextual"/>
              </w:rPr>
            </w:pPr>
          </w:p>
        </w:tc>
      </w:tr>
    </w:tbl>
    <w:p w14:paraId="311D2190" w14:textId="77777777" w:rsidR="001F5E87" w:rsidRDefault="001F5E87" w:rsidP="00852B06">
      <w:pPr>
        <w:jc w:val="both"/>
        <w:rPr>
          <w:b/>
          <w:bCs/>
          <w:kern w:val="2"/>
          <w14:ligatures w14:val="standardContextual"/>
        </w:rPr>
      </w:pPr>
    </w:p>
    <w:p w14:paraId="5C7EB1FE" w14:textId="33B9204C" w:rsidR="00B63987" w:rsidRPr="00852B06" w:rsidRDefault="4F80BDEC" w:rsidP="00852B06">
      <w:pPr>
        <w:jc w:val="both"/>
      </w:pPr>
      <w:r w:rsidRPr="00852B06">
        <w:rPr>
          <w:b/>
          <w:bCs/>
          <w:kern w:val="2"/>
          <w14:ligatures w14:val="standardContextual"/>
        </w:rPr>
        <w:t xml:space="preserve">Information shared by APCA points </w:t>
      </w:r>
      <w:r w:rsidR="2DB9E80C" w:rsidRPr="00852B06">
        <w:rPr>
          <w:b/>
          <w:bCs/>
          <w:kern w:val="2"/>
          <w14:ligatures w14:val="standardContextual"/>
        </w:rPr>
        <w:t>to</w:t>
      </w:r>
      <w:r w:rsidRPr="00852B06">
        <w:rPr>
          <w:b/>
          <w:bCs/>
          <w:kern w:val="2"/>
          <w14:ligatures w14:val="standardContextual"/>
        </w:rPr>
        <w:t xml:space="preserve"> </w:t>
      </w:r>
      <w:r w:rsidR="008A7537">
        <w:rPr>
          <w:b/>
          <w:bCs/>
          <w:kern w:val="2"/>
          <w14:ligatures w14:val="standardContextual"/>
        </w:rPr>
        <w:t xml:space="preserve">noticeable </w:t>
      </w:r>
      <w:r w:rsidRPr="00852B06">
        <w:rPr>
          <w:b/>
          <w:bCs/>
          <w:kern w:val="2"/>
          <w14:ligatures w14:val="standardContextual"/>
        </w:rPr>
        <w:t xml:space="preserve">progress in the simplification or reduction of regulations, </w:t>
      </w:r>
      <w:r w:rsidR="51AA8809">
        <w:rPr>
          <w:b/>
          <w:bCs/>
          <w:kern w:val="2"/>
          <w14:ligatures w14:val="standardContextual"/>
        </w:rPr>
        <w:t>although</w:t>
      </w:r>
      <w:r w:rsidR="51AA8809" w:rsidRPr="00852B06">
        <w:rPr>
          <w:b/>
          <w:bCs/>
          <w:kern w:val="2"/>
          <w14:ligatures w14:val="standardContextual"/>
        </w:rPr>
        <w:t xml:space="preserve"> </w:t>
      </w:r>
      <w:r w:rsidRPr="00852B06">
        <w:rPr>
          <w:b/>
          <w:bCs/>
          <w:kern w:val="2"/>
          <w14:ligatures w14:val="standardContextual"/>
        </w:rPr>
        <w:t xml:space="preserve">the absence of a clear baseline </w:t>
      </w:r>
      <w:r w:rsidR="042234B6">
        <w:rPr>
          <w:b/>
          <w:bCs/>
          <w:kern w:val="2"/>
          <w14:ligatures w14:val="standardContextual"/>
        </w:rPr>
        <w:t>prevents an accurate assessment of progress against the target</w:t>
      </w:r>
      <w:r w:rsidRPr="00852B06">
        <w:rPr>
          <w:b/>
          <w:bCs/>
          <w:kern w:val="2"/>
          <w14:ligatures w14:val="standardContextual"/>
        </w:rPr>
        <w:t xml:space="preserve">. </w:t>
      </w:r>
      <w:r w:rsidRPr="00852B06">
        <w:rPr>
          <w:kern w:val="2"/>
          <w14:ligatures w14:val="standardContextual"/>
        </w:rPr>
        <w:t>According to data shared by APCA, 2,789 business regulations were simplified or reduced as of December 2023. Yet, a clear baseline of the total number of regulations was not established by May 31, 2020, as envisioned by Resolution 68</w:t>
      </w:r>
      <w:r w:rsidR="4E496E1A">
        <w:rPr>
          <w:kern w:val="2"/>
          <w14:ligatures w14:val="standardContextual"/>
        </w:rPr>
        <w:t>, due to the onset of the COVID-19 pandemic</w:t>
      </w:r>
      <w:r w:rsidRPr="00852B06">
        <w:rPr>
          <w:kern w:val="2"/>
          <w14:ligatures w14:val="standardContextual"/>
        </w:rPr>
        <w:t xml:space="preserve">. </w:t>
      </w:r>
      <w:r w:rsidR="163A24C7">
        <w:rPr>
          <w:kern w:val="2"/>
          <w14:ligatures w14:val="standardContextual"/>
        </w:rPr>
        <w:t xml:space="preserve">In the </w:t>
      </w:r>
      <w:r w:rsidR="163A24C7">
        <w:rPr>
          <w:kern w:val="2"/>
          <w14:ligatures w14:val="standardContextual"/>
        </w:rPr>
        <w:lastRenderedPageBreak/>
        <w:t>absence of a pre-reform baseline</w:t>
      </w:r>
      <w:r w:rsidRPr="00852B06">
        <w:rPr>
          <w:kern w:val="2"/>
          <w14:ligatures w14:val="standardContextual"/>
        </w:rPr>
        <w:t xml:space="preserve">, </w:t>
      </w:r>
      <w:r w:rsidR="37693E46">
        <w:rPr>
          <w:kern w:val="2"/>
          <w14:ligatures w14:val="standardContextual"/>
        </w:rPr>
        <w:t xml:space="preserve">one option is to use </w:t>
      </w:r>
      <w:r w:rsidRPr="00852B06">
        <w:rPr>
          <w:kern w:val="2"/>
          <w14:ligatures w14:val="standardContextual"/>
        </w:rPr>
        <w:t>a proxy</w:t>
      </w:r>
      <w:r w:rsidR="2CDDAABD">
        <w:rPr>
          <w:kern w:val="2"/>
          <w14:ligatures w14:val="standardContextual"/>
        </w:rPr>
        <w:t xml:space="preserve">, for example </w:t>
      </w:r>
      <w:r w:rsidRPr="00852B06">
        <w:rPr>
          <w:kern w:val="2"/>
          <w14:ligatures w14:val="standardContextual"/>
        </w:rPr>
        <w:t xml:space="preserve">the total number of business regulations currently included in </w:t>
      </w:r>
      <w:r w:rsidR="17022395" w:rsidRPr="00376BF4">
        <w:rPr>
          <w:kern w:val="2"/>
          <w14:ligatures w14:val="standardContextual"/>
        </w:rPr>
        <w:t xml:space="preserve">Business Regulations </w:t>
      </w:r>
      <w:r w:rsidR="06158072" w:rsidRPr="00376BF4">
        <w:rPr>
          <w:kern w:val="2"/>
          <w14:ligatures w14:val="standardContextual"/>
        </w:rPr>
        <w:t xml:space="preserve">Consultation and </w:t>
      </w:r>
      <w:r w:rsidR="17022395" w:rsidRPr="00376BF4">
        <w:rPr>
          <w:kern w:val="2"/>
          <w14:ligatures w14:val="standardContextual"/>
        </w:rPr>
        <w:t>Query Portal</w:t>
      </w:r>
      <w:r w:rsidR="691F4E01">
        <w:rPr>
          <w:kern w:val="2"/>
          <w14:ligatures w14:val="standardContextual"/>
        </w:rPr>
        <w:t>:</w:t>
      </w:r>
      <w:r w:rsidR="00F66B4B">
        <w:rPr>
          <w:rStyle w:val="FootnoteReference"/>
          <w:kern w:val="2"/>
          <w14:ligatures w14:val="standardContextual"/>
        </w:rPr>
        <w:footnoteReference w:id="44"/>
      </w:r>
      <w:r w:rsidR="17022395" w:rsidRPr="00376BF4" w:rsidDel="00376BF4">
        <w:rPr>
          <w:kern w:val="2"/>
          <w14:ligatures w14:val="standardContextual"/>
        </w:rPr>
        <w:t xml:space="preserve"> </w:t>
      </w:r>
      <w:r w:rsidRPr="00852B06">
        <w:rPr>
          <w:kern w:val="2"/>
          <w14:ligatures w14:val="standardContextual"/>
        </w:rPr>
        <w:t>12,</w:t>
      </w:r>
      <w:r w:rsidR="593758E9">
        <w:rPr>
          <w:kern w:val="2"/>
          <w14:ligatures w14:val="standardContextual"/>
        </w:rPr>
        <w:t>708 as of January 2024</w:t>
      </w:r>
      <w:r w:rsidRPr="00852B06">
        <w:rPr>
          <w:kern w:val="2"/>
          <w14:ligatures w14:val="standardContextual"/>
        </w:rPr>
        <w:t>.</w:t>
      </w:r>
      <w:r w:rsidR="00852B06" w:rsidRPr="00852B06">
        <w:rPr>
          <w:kern w:val="2"/>
          <w:vertAlign w:val="superscript"/>
          <w14:ligatures w14:val="standardContextual"/>
        </w:rPr>
        <w:footnoteReference w:id="45"/>
      </w:r>
      <w:r w:rsidRPr="00852B06">
        <w:rPr>
          <w:kern w:val="2"/>
          <w14:ligatures w14:val="standardContextual"/>
        </w:rPr>
        <w:t xml:space="preserve"> Based on this measure the share of business regulations simplified and reduced is approximately </w:t>
      </w:r>
      <w:r w:rsidR="48415FF0" w:rsidRPr="00852B06">
        <w:rPr>
          <w:kern w:val="2"/>
          <w14:ligatures w14:val="standardContextual"/>
        </w:rPr>
        <w:t>2</w:t>
      </w:r>
      <w:r w:rsidR="48415FF0">
        <w:rPr>
          <w:kern w:val="2"/>
          <w14:ligatures w14:val="standardContextual"/>
        </w:rPr>
        <w:t>2</w:t>
      </w:r>
      <w:r w:rsidRPr="00852B06">
        <w:rPr>
          <w:kern w:val="2"/>
          <w14:ligatures w14:val="standardContextual"/>
        </w:rPr>
        <w:t xml:space="preserve">% of the total existing stock of regulations, above the target of Resolution 68. However, this is an imperfect measure as it does not consider how many new regulations may have been issued since 2020. Moreover, data </w:t>
      </w:r>
      <w:r w:rsidR="0052000F" w:rsidRPr="00852B06">
        <w:rPr>
          <w:kern w:val="2"/>
          <w14:ligatures w14:val="standardContextual"/>
        </w:rPr>
        <w:t>available</w:t>
      </w:r>
      <w:r w:rsidR="0052000F">
        <w:rPr>
          <w:kern w:val="2"/>
          <w14:ligatures w14:val="standardContextual"/>
        </w:rPr>
        <w:t xml:space="preserve"> </w:t>
      </w:r>
      <w:r w:rsidR="00C213E9">
        <w:rPr>
          <w:kern w:val="2"/>
          <w14:ligatures w14:val="standardContextual"/>
        </w:rPr>
        <w:t>as of December</w:t>
      </w:r>
      <w:r w:rsidR="00B12C7D">
        <w:rPr>
          <w:kern w:val="2"/>
          <w14:ligatures w14:val="standardContextual"/>
        </w:rPr>
        <w:t xml:space="preserve"> 2023</w:t>
      </w:r>
      <w:r w:rsidR="0052000F" w:rsidRPr="00852B06">
        <w:rPr>
          <w:kern w:val="2"/>
          <w14:ligatures w14:val="standardContextual"/>
        </w:rPr>
        <w:t xml:space="preserve"> </w:t>
      </w:r>
      <w:r w:rsidRPr="00852B06">
        <w:rPr>
          <w:kern w:val="2"/>
          <w14:ligatures w14:val="standardContextual"/>
        </w:rPr>
        <w:t xml:space="preserve">does </w:t>
      </w:r>
      <w:r w:rsidRPr="00141B69">
        <w:rPr>
          <w:kern w:val="2"/>
          <w14:ligatures w14:val="standardContextual"/>
        </w:rPr>
        <w:t>not distinguish between regulations simplified or reduced, nor the degree of simplification or reduction.</w:t>
      </w:r>
      <w:r w:rsidRPr="00852B06">
        <w:rPr>
          <w:kern w:val="2"/>
          <w14:ligatures w14:val="standardContextual"/>
        </w:rPr>
        <w:t xml:space="preserve"> Therefore, it is not possible to determine to what extent the total burden of regulations has been reduced. </w:t>
      </w:r>
      <w:r w:rsidR="340A81E1">
        <w:rPr>
          <w:kern w:val="2"/>
          <w14:ligatures w14:val="standardContextual"/>
        </w:rPr>
        <w:t>T</w:t>
      </w:r>
      <w:r w:rsidRPr="00852B06">
        <w:rPr>
          <w:kern w:val="2"/>
          <w14:ligatures w14:val="standardContextual"/>
        </w:rPr>
        <w:t xml:space="preserve">o achieve improvements in economic outcomes, the simplification and reduction of regulations would need to address </w:t>
      </w:r>
      <w:r w:rsidR="340A81E1">
        <w:rPr>
          <w:kern w:val="2"/>
          <w14:ligatures w14:val="standardContextual"/>
        </w:rPr>
        <w:t>bindin</w:t>
      </w:r>
      <w:r w:rsidR="370A6122">
        <w:rPr>
          <w:kern w:val="2"/>
          <w14:ligatures w14:val="standardContextual"/>
        </w:rPr>
        <w:t>g</w:t>
      </w:r>
      <w:r w:rsidR="340A81E1" w:rsidRPr="00852B06">
        <w:rPr>
          <w:kern w:val="2"/>
          <w14:ligatures w14:val="standardContextual"/>
        </w:rPr>
        <w:t xml:space="preserve"> </w:t>
      </w:r>
      <w:r w:rsidRPr="00852B06">
        <w:rPr>
          <w:kern w:val="2"/>
          <w14:ligatures w14:val="standardContextual"/>
        </w:rPr>
        <w:t xml:space="preserve">constraints for businesses. </w:t>
      </w:r>
    </w:p>
    <w:p w14:paraId="5C874619" w14:textId="36028A4B" w:rsidR="002859FB" w:rsidRDefault="00016207" w:rsidP="00852B06">
      <w:pPr>
        <w:jc w:val="both"/>
        <w:rPr>
          <w:kern w:val="2"/>
          <w14:ligatures w14:val="standardContextual"/>
        </w:rPr>
      </w:pPr>
      <w:r>
        <w:rPr>
          <w:b/>
          <w:bCs/>
          <w:kern w:val="2"/>
          <w14:ligatures w14:val="standardContextual"/>
        </w:rPr>
        <w:t xml:space="preserve">During 2020-23, </w:t>
      </w:r>
      <w:r w:rsidR="1D78035E">
        <w:rPr>
          <w:b/>
          <w:bCs/>
          <w:kern w:val="2"/>
          <w14:ligatures w14:val="standardContextual"/>
        </w:rPr>
        <w:t xml:space="preserve">simplification of </w:t>
      </w:r>
      <w:r w:rsidR="57B72AB3">
        <w:rPr>
          <w:b/>
          <w:bCs/>
          <w:kern w:val="2"/>
          <w14:ligatures w14:val="standardContextual"/>
        </w:rPr>
        <w:t xml:space="preserve">business regulations was introduced through amendments to </w:t>
      </w:r>
      <w:r w:rsidR="0075372F">
        <w:rPr>
          <w:b/>
          <w:bCs/>
          <w:kern w:val="2"/>
          <w14:ligatures w14:val="standardContextual"/>
        </w:rPr>
        <w:t xml:space="preserve">244 </w:t>
      </w:r>
      <w:r w:rsidR="57B72AB3">
        <w:rPr>
          <w:b/>
          <w:bCs/>
          <w:kern w:val="2"/>
          <w14:ligatures w14:val="standardContextual"/>
        </w:rPr>
        <w:t xml:space="preserve">legal documents. </w:t>
      </w:r>
      <w:r w:rsidR="4CFE7137" w:rsidRPr="00DF1F93">
        <w:rPr>
          <w:kern w:val="2"/>
          <w14:ligatures w14:val="standardContextual"/>
        </w:rPr>
        <w:t>An additional</w:t>
      </w:r>
      <w:r w:rsidR="4CFE7137">
        <w:rPr>
          <w:b/>
          <w:bCs/>
          <w:kern w:val="2"/>
          <w14:ligatures w14:val="standardContextual"/>
        </w:rPr>
        <w:t xml:space="preserve"> </w:t>
      </w:r>
      <w:r w:rsidR="4CFE7137" w:rsidRPr="00852B06">
        <w:rPr>
          <w:kern w:val="2"/>
          <w14:ligatures w14:val="standardContextual"/>
        </w:rPr>
        <w:t>107 legal instruments were approved for amendment by the Prime Minister and pending issuance.</w:t>
      </w:r>
      <w:r w:rsidR="4CFE7137">
        <w:rPr>
          <w:kern w:val="2"/>
          <w14:ligatures w14:val="standardContextual"/>
        </w:rPr>
        <w:t xml:space="preserve"> </w:t>
      </w:r>
      <w:r w:rsidR="4CFE7137" w:rsidRPr="00DD612C">
        <w:rPr>
          <w:kern w:val="2"/>
          <w14:ligatures w14:val="standardContextual"/>
        </w:rPr>
        <w:t xml:space="preserve">Regarding the type of legal instrument used, circulars and decrees are the most </w:t>
      </w:r>
      <w:r w:rsidR="372A6697">
        <w:rPr>
          <w:kern w:val="2"/>
          <w14:ligatures w14:val="standardContextual"/>
        </w:rPr>
        <w:t>used</w:t>
      </w:r>
      <w:r w:rsidR="4CFE7137" w:rsidRPr="00DD612C">
        <w:rPr>
          <w:kern w:val="2"/>
          <w14:ligatures w14:val="standardContextual"/>
        </w:rPr>
        <w:t xml:space="preserve"> instruments, representing 31 and 66 percent of the total</w:t>
      </w:r>
      <w:r w:rsidR="59C66807">
        <w:rPr>
          <w:kern w:val="2"/>
          <w14:ligatures w14:val="standardContextual"/>
        </w:rPr>
        <w:t xml:space="preserve"> (</w:t>
      </w:r>
      <w:r w:rsidR="001C4249">
        <w:t xml:space="preserve">Figure </w:t>
      </w:r>
      <w:r w:rsidR="59C66807">
        <w:rPr>
          <w:kern w:val="2"/>
          <w14:ligatures w14:val="standardContextual"/>
        </w:rPr>
        <w:t>1</w:t>
      </w:r>
      <w:r w:rsidR="001C4249">
        <w:t>0</w:t>
      </w:r>
      <w:r w:rsidR="59C66807">
        <w:rPr>
          <w:kern w:val="2"/>
          <w14:ligatures w14:val="standardContextual"/>
        </w:rPr>
        <w:t>)</w:t>
      </w:r>
      <w:r w:rsidR="4CFE7137" w:rsidRPr="00DD612C">
        <w:rPr>
          <w:kern w:val="2"/>
          <w14:ligatures w14:val="standardContextual"/>
        </w:rPr>
        <w:t xml:space="preserve">. This is expected as most of the changes are related to implementing regulations of existing legislation. Important </w:t>
      </w:r>
      <w:r w:rsidR="00384EFB">
        <w:t>regulations</w:t>
      </w:r>
      <w:r w:rsidR="4CFE7137">
        <w:t xml:space="preserve"> </w:t>
      </w:r>
      <w:r w:rsidR="4CFE7137" w:rsidRPr="00DD612C">
        <w:rPr>
          <w:kern w:val="2"/>
          <w14:ligatures w14:val="standardContextual"/>
        </w:rPr>
        <w:t>were adopted during the period: i)</w:t>
      </w:r>
      <w:r w:rsidR="60BA7DBD">
        <w:rPr>
          <w:kern w:val="2"/>
          <w14:ligatures w14:val="standardContextual"/>
        </w:rPr>
        <w:t xml:space="preserve"> Decree</w:t>
      </w:r>
      <w:r w:rsidR="4FE4E4F4">
        <w:rPr>
          <w:kern w:val="2"/>
          <w14:ligatures w14:val="standardContextual"/>
        </w:rPr>
        <w:t xml:space="preserve"> 54/2022/ND-CP </w:t>
      </w:r>
      <w:r w:rsidR="0FC8D700">
        <w:rPr>
          <w:kern w:val="2"/>
          <w14:ligatures w14:val="standardContextual"/>
        </w:rPr>
        <w:t xml:space="preserve">revising the Decree 96 on security and social order conditions for business lines subject to conditions; </w:t>
      </w:r>
      <w:r w:rsidR="716168E9">
        <w:rPr>
          <w:kern w:val="2"/>
          <w14:ligatures w14:val="standardContextual"/>
        </w:rPr>
        <w:t xml:space="preserve">Decree 64/2022/ND-CP on </w:t>
      </w:r>
      <w:r w:rsidR="02D41E3A">
        <w:rPr>
          <w:kern w:val="2"/>
          <w14:ligatures w14:val="standardContextual"/>
        </w:rPr>
        <w:t>b</w:t>
      </w:r>
      <w:r w:rsidR="6F2230B2">
        <w:rPr>
          <w:kern w:val="2"/>
          <w14:ligatures w14:val="standardContextual"/>
        </w:rPr>
        <w:t xml:space="preserve">usiness </w:t>
      </w:r>
      <w:r w:rsidR="132DA45A">
        <w:t>activities</w:t>
      </w:r>
      <w:r w:rsidR="6F2230B2">
        <w:rPr>
          <w:kern w:val="2"/>
          <w14:ligatures w14:val="standardContextual"/>
        </w:rPr>
        <w:t xml:space="preserve"> in </w:t>
      </w:r>
      <w:r w:rsidR="02D41E3A">
        <w:rPr>
          <w:kern w:val="2"/>
          <w14:ligatures w14:val="standardContextual"/>
        </w:rPr>
        <w:t xml:space="preserve">civil </w:t>
      </w:r>
      <w:r w:rsidR="1AE35F3F">
        <w:t>aviation</w:t>
      </w:r>
      <w:r w:rsidR="6F2230B2">
        <w:rPr>
          <w:kern w:val="2"/>
          <w14:ligatures w14:val="standardContextual"/>
        </w:rPr>
        <w:t xml:space="preserve">; </w:t>
      </w:r>
      <w:r w:rsidR="10EF4618">
        <w:rPr>
          <w:kern w:val="2"/>
          <w14:ligatures w14:val="standardContextual"/>
        </w:rPr>
        <w:t>Decree 23/2021/ND-CP on job services businesses</w:t>
      </w:r>
      <w:r w:rsidR="6C6BEA50">
        <w:rPr>
          <w:kern w:val="2"/>
          <w14:ligatures w14:val="standardContextual"/>
        </w:rPr>
        <w:t xml:space="preserve">, and Decree 46/2022/ND-CP on </w:t>
      </w:r>
      <w:r w:rsidR="3B48C99F" w:rsidRPr="00713A02">
        <w:rPr>
          <w:kern w:val="2"/>
          <w14:ligatures w14:val="standardContextual"/>
        </w:rPr>
        <w:t>animal husbandry</w:t>
      </w:r>
      <w:r w:rsidR="1AC3364D">
        <w:rPr>
          <w:kern w:val="2"/>
          <w14:ligatures w14:val="standardContextual"/>
        </w:rPr>
        <w:t xml:space="preserve">. </w:t>
      </w:r>
    </w:p>
    <w:tbl>
      <w:tblPr>
        <w:tblStyle w:val="TableGrid"/>
        <w:tblW w:w="0" w:type="auto"/>
        <w:shd w:val="clear" w:color="auto" w:fill="FFFFFF" w:themeFill="background1"/>
        <w:tblLook w:val="04A0" w:firstRow="1" w:lastRow="0" w:firstColumn="1" w:lastColumn="0" w:noHBand="0" w:noVBand="1"/>
      </w:tblPr>
      <w:tblGrid>
        <w:gridCol w:w="9350"/>
      </w:tblGrid>
      <w:tr w:rsidR="00BF53CD" w14:paraId="6EBEB063" w14:textId="77777777" w:rsidTr="00D64CD6">
        <w:tc>
          <w:tcPr>
            <w:tcW w:w="9350" w:type="dxa"/>
            <w:shd w:val="clear" w:color="auto" w:fill="FBE4D5" w:themeFill="accent2" w:themeFillTint="33"/>
          </w:tcPr>
          <w:p w14:paraId="78DE94B0" w14:textId="7FBF7DE0" w:rsidR="00BF53CD" w:rsidRPr="00016207" w:rsidRDefault="002979CB">
            <w:pPr>
              <w:jc w:val="center"/>
              <w:rPr>
                <w:b/>
                <w:bCs/>
                <w:kern w:val="2"/>
                <w14:ligatures w14:val="standardContextual"/>
              </w:rPr>
            </w:pPr>
            <w:r>
              <w:rPr>
                <w:b/>
                <w:bCs/>
                <w:kern w:val="2"/>
                <w14:ligatures w14:val="standardContextual"/>
              </w:rPr>
              <w:t>Examples of success</w:t>
            </w:r>
            <w:r w:rsidR="00457D3B">
              <w:rPr>
                <w:b/>
                <w:bCs/>
                <w:kern w:val="2"/>
                <w14:ligatures w14:val="standardContextual"/>
              </w:rPr>
              <w:t>ful reforms under Resolution 68</w:t>
            </w:r>
          </w:p>
          <w:p w14:paraId="55DFF61D" w14:textId="77777777" w:rsidR="007043C7" w:rsidRDefault="007043C7">
            <w:pPr>
              <w:jc w:val="both"/>
              <w:rPr>
                <w:kern w:val="2"/>
                <w14:ligatures w14:val="standardContextual"/>
              </w:rPr>
            </w:pPr>
          </w:p>
          <w:p w14:paraId="0DFB2DE2" w14:textId="1A8034E4" w:rsidR="00BF53CD" w:rsidRDefault="005F4F6D">
            <w:pPr>
              <w:jc w:val="both"/>
              <w:rPr>
                <w:kern w:val="2"/>
                <w14:ligatures w14:val="standardContextual"/>
              </w:rPr>
            </w:pPr>
            <w:r>
              <w:rPr>
                <w:kern w:val="2"/>
                <w14:ligatures w14:val="standardContextual"/>
              </w:rPr>
              <w:t xml:space="preserve">Under Resolution 68, </w:t>
            </w:r>
            <w:r w:rsidR="007043C7">
              <w:rPr>
                <w:kern w:val="2"/>
                <w14:ligatures w14:val="standardContextual"/>
              </w:rPr>
              <w:t xml:space="preserve">many reform measures have been adopted in various regulatory domains. </w:t>
            </w:r>
            <w:r w:rsidR="003338A9">
              <w:rPr>
                <w:kern w:val="2"/>
                <w14:ligatures w14:val="standardContextual"/>
              </w:rPr>
              <w:t>Among many meaningful reforms, t</w:t>
            </w:r>
            <w:r w:rsidR="0081534C">
              <w:rPr>
                <w:kern w:val="2"/>
                <w14:ligatures w14:val="standardContextual"/>
              </w:rPr>
              <w:t xml:space="preserve">wo </w:t>
            </w:r>
            <w:r w:rsidR="004C5C2F">
              <w:rPr>
                <w:kern w:val="2"/>
                <w14:ligatures w14:val="standardContextual"/>
              </w:rPr>
              <w:t xml:space="preserve">impactful </w:t>
            </w:r>
            <w:r w:rsidR="00006AC4">
              <w:rPr>
                <w:kern w:val="2"/>
                <w14:ligatures w14:val="standardContextual"/>
              </w:rPr>
              <w:t>reform efforts are:</w:t>
            </w:r>
          </w:p>
          <w:p w14:paraId="466F0C25" w14:textId="72DDA364" w:rsidR="00006AC4" w:rsidRDefault="00006AC4">
            <w:pPr>
              <w:jc w:val="both"/>
              <w:rPr>
                <w:kern w:val="2"/>
                <w14:ligatures w14:val="standardContextual"/>
              </w:rPr>
            </w:pPr>
            <w:r>
              <w:rPr>
                <w:kern w:val="2"/>
                <w14:ligatures w14:val="standardContextual"/>
              </w:rPr>
              <w:t xml:space="preserve">1. </w:t>
            </w:r>
            <w:r w:rsidR="007303AC">
              <w:rPr>
                <w:kern w:val="2"/>
                <w14:ligatures w14:val="standardContextual"/>
              </w:rPr>
              <w:t xml:space="preserve">On 8 November 2021, </w:t>
            </w:r>
            <w:r w:rsidR="0067690C">
              <w:rPr>
                <w:kern w:val="2"/>
                <w14:ligatures w14:val="standardContextual"/>
              </w:rPr>
              <w:t>the government</w:t>
            </w:r>
            <w:r w:rsidR="007303AC">
              <w:rPr>
                <w:kern w:val="2"/>
                <w14:ligatures w14:val="standardContextual"/>
              </w:rPr>
              <w:t xml:space="preserve"> issued the Decree 98/2021/ND-CP </w:t>
            </w:r>
            <w:r w:rsidR="009069FD">
              <w:rPr>
                <w:kern w:val="2"/>
                <w14:ligatures w14:val="standardContextual"/>
              </w:rPr>
              <w:t xml:space="preserve">on </w:t>
            </w:r>
            <w:r w:rsidR="000A4A49">
              <w:rPr>
                <w:kern w:val="2"/>
                <w14:ligatures w14:val="standardContextual"/>
              </w:rPr>
              <w:t xml:space="preserve">management of </w:t>
            </w:r>
            <w:r w:rsidR="00141A34">
              <w:rPr>
                <w:kern w:val="2"/>
                <w14:ligatures w14:val="standardContextual"/>
              </w:rPr>
              <w:t>medical</w:t>
            </w:r>
            <w:r w:rsidR="000A4A49">
              <w:rPr>
                <w:kern w:val="2"/>
                <w14:ligatures w14:val="standardContextual"/>
              </w:rPr>
              <w:t xml:space="preserve"> </w:t>
            </w:r>
            <w:r w:rsidR="007666AE">
              <w:rPr>
                <w:kern w:val="2"/>
                <w14:ligatures w14:val="standardContextual"/>
              </w:rPr>
              <w:t>device</w:t>
            </w:r>
            <w:r w:rsidR="00296F4F">
              <w:rPr>
                <w:kern w:val="2"/>
                <w14:ligatures w14:val="standardContextual"/>
              </w:rPr>
              <w:t>s</w:t>
            </w:r>
            <w:r w:rsidR="003A174C">
              <w:rPr>
                <w:kern w:val="2"/>
                <w14:ligatures w14:val="standardContextual"/>
              </w:rPr>
              <w:t xml:space="preserve"> </w:t>
            </w:r>
            <w:r w:rsidR="007332DE">
              <w:rPr>
                <w:kern w:val="2"/>
                <w14:ligatures w14:val="standardContextual"/>
              </w:rPr>
              <w:t xml:space="preserve">which adopted a </w:t>
            </w:r>
            <w:r w:rsidR="004F66EC">
              <w:rPr>
                <w:kern w:val="2"/>
                <w14:ligatures w14:val="standardContextual"/>
              </w:rPr>
              <w:t xml:space="preserve">more business friendly and risk-based approach to </w:t>
            </w:r>
            <w:r w:rsidR="00F40013">
              <w:rPr>
                <w:kern w:val="2"/>
                <w14:ligatures w14:val="standardContextual"/>
              </w:rPr>
              <w:t>regulation</w:t>
            </w:r>
            <w:r w:rsidR="00A546C4">
              <w:rPr>
                <w:kern w:val="2"/>
                <w14:ligatures w14:val="standardContextual"/>
              </w:rPr>
              <w:t xml:space="preserve"> of medical devices</w:t>
            </w:r>
            <w:r w:rsidR="00867F55">
              <w:rPr>
                <w:kern w:val="2"/>
                <w14:ligatures w14:val="standardContextual"/>
              </w:rPr>
              <w:t xml:space="preserve">. </w:t>
            </w:r>
            <w:r w:rsidR="00063FA5">
              <w:rPr>
                <w:kern w:val="2"/>
                <w14:ligatures w14:val="standardContextual"/>
              </w:rPr>
              <w:t>The regulatory approach changed from ex-ante authorization to ex</w:t>
            </w:r>
            <w:r w:rsidR="00F118B8">
              <w:rPr>
                <w:kern w:val="2"/>
                <w14:ligatures w14:val="standardContextual"/>
              </w:rPr>
              <w:t xml:space="preserve">-post </w:t>
            </w:r>
            <w:r w:rsidR="00700E0E">
              <w:rPr>
                <w:kern w:val="2"/>
                <w14:ligatures w14:val="standardContextual"/>
              </w:rPr>
              <w:t xml:space="preserve">market </w:t>
            </w:r>
            <w:r w:rsidR="00F118B8">
              <w:rPr>
                <w:kern w:val="2"/>
                <w14:ligatures w14:val="standardContextual"/>
              </w:rPr>
              <w:t>sup</w:t>
            </w:r>
            <w:r w:rsidR="00700E0E">
              <w:rPr>
                <w:kern w:val="2"/>
                <w14:ligatures w14:val="standardContextual"/>
              </w:rPr>
              <w:t xml:space="preserve">ervision </w:t>
            </w:r>
            <w:r w:rsidR="0073506F">
              <w:rPr>
                <w:kern w:val="2"/>
                <w14:ligatures w14:val="standardContextual"/>
              </w:rPr>
              <w:t xml:space="preserve">which allows </w:t>
            </w:r>
            <w:r w:rsidR="00F10DE8">
              <w:rPr>
                <w:kern w:val="2"/>
                <w14:ligatures w14:val="standardContextual"/>
              </w:rPr>
              <w:t xml:space="preserve">enterprises to </w:t>
            </w:r>
            <w:r w:rsidR="00AA0430">
              <w:rPr>
                <w:kern w:val="2"/>
                <w14:ligatures w14:val="standardContextual"/>
              </w:rPr>
              <w:t xml:space="preserve">market category-B </w:t>
            </w:r>
            <w:r w:rsidR="00915F34">
              <w:rPr>
                <w:kern w:val="2"/>
                <w14:ligatures w14:val="standardContextual"/>
              </w:rPr>
              <w:t xml:space="preserve">devices </w:t>
            </w:r>
            <w:r w:rsidR="00613C71">
              <w:rPr>
                <w:kern w:val="2"/>
                <w14:ligatures w14:val="standardContextual"/>
              </w:rPr>
              <w:t xml:space="preserve">by </w:t>
            </w:r>
            <w:r w:rsidR="00E10682">
              <w:rPr>
                <w:kern w:val="2"/>
                <w14:ligatures w14:val="standardContextual"/>
              </w:rPr>
              <w:t>notification to local healthcare departments</w:t>
            </w:r>
            <w:r w:rsidR="0093612D">
              <w:rPr>
                <w:kern w:val="2"/>
                <w14:ligatures w14:val="standardContextual"/>
              </w:rPr>
              <w:t xml:space="preserve"> instead of </w:t>
            </w:r>
            <w:r w:rsidR="009E3504">
              <w:rPr>
                <w:kern w:val="2"/>
                <w14:ligatures w14:val="standardContextual"/>
              </w:rPr>
              <w:t>applying for</w:t>
            </w:r>
            <w:r w:rsidR="00C9296D">
              <w:rPr>
                <w:kern w:val="2"/>
                <w14:ligatures w14:val="standardContextual"/>
              </w:rPr>
              <w:t xml:space="preserve"> </w:t>
            </w:r>
            <w:r w:rsidR="00F7115C">
              <w:rPr>
                <w:kern w:val="2"/>
                <w14:ligatures w14:val="standardContextual"/>
              </w:rPr>
              <w:t>marketization approval</w:t>
            </w:r>
            <w:r w:rsidR="005575BE">
              <w:rPr>
                <w:kern w:val="2"/>
                <w14:ligatures w14:val="standardContextual"/>
              </w:rPr>
              <w:t xml:space="preserve">. </w:t>
            </w:r>
            <w:r w:rsidR="000E59FC">
              <w:rPr>
                <w:kern w:val="2"/>
                <w14:ligatures w14:val="standardContextual"/>
              </w:rPr>
              <w:t xml:space="preserve">This </w:t>
            </w:r>
            <w:r w:rsidR="002D2F3A">
              <w:rPr>
                <w:kern w:val="2"/>
                <w14:ligatures w14:val="standardContextual"/>
              </w:rPr>
              <w:t xml:space="preserve">means </w:t>
            </w:r>
            <w:r w:rsidR="00764716">
              <w:rPr>
                <w:kern w:val="2"/>
                <w14:ligatures w14:val="standardContextual"/>
              </w:rPr>
              <w:t xml:space="preserve">12,000 </w:t>
            </w:r>
            <w:r w:rsidR="00B0434F">
              <w:rPr>
                <w:kern w:val="2"/>
                <w14:ligatures w14:val="standardContextual"/>
              </w:rPr>
              <w:t xml:space="preserve">authorization </w:t>
            </w:r>
            <w:r w:rsidR="00403A7C">
              <w:rPr>
                <w:kern w:val="2"/>
                <w14:ligatures w14:val="standardContextual"/>
              </w:rPr>
              <w:t xml:space="preserve">procedures per </w:t>
            </w:r>
            <w:r w:rsidR="000F73AE">
              <w:rPr>
                <w:kern w:val="2"/>
                <w14:ligatures w14:val="standardContextual"/>
              </w:rPr>
              <w:t xml:space="preserve">year are </w:t>
            </w:r>
            <w:r w:rsidR="00271B03">
              <w:rPr>
                <w:kern w:val="2"/>
                <w14:ligatures w14:val="standardContextual"/>
              </w:rPr>
              <w:t xml:space="preserve">replaced by </w:t>
            </w:r>
            <w:r w:rsidR="00E34965">
              <w:rPr>
                <w:kern w:val="2"/>
                <w14:ligatures w14:val="standardContextual"/>
              </w:rPr>
              <w:t xml:space="preserve">much less </w:t>
            </w:r>
            <w:r w:rsidR="0067690C">
              <w:rPr>
                <w:kern w:val="2"/>
                <w14:ligatures w14:val="standardContextual"/>
              </w:rPr>
              <w:t>burdensome</w:t>
            </w:r>
            <w:r w:rsidR="00E34965">
              <w:rPr>
                <w:kern w:val="2"/>
                <w14:ligatures w14:val="standardContextual"/>
              </w:rPr>
              <w:t xml:space="preserve"> notification</w:t>
            </w:r>
            <w:r w:rsidR="0095324F">
              <w:rPr>
                <w:kern w:val="2"/>
                <w14:ligatures w14:val="standardContextual"/>
              </w:rPr>
              <w:t xml:space="preserve"> procedures</w:t>
            </w:r>
            <w:r w:rsidR="00E34965">
              <w:rPr>
                <w:kern w:val="2"/>
                <w14:ligatures w14:val="standardContextual"/>
              </w:rPr>
              <w:t xml:space="preserve">. </w:t>
            </w:r>
            <w:r w:rsidR="0095324F">
              <w:rPr>
                <w:kern w:val="2"/>
                <w14:ligatures w14:val="standardContextual"/>
              </w:rPr>
              <w:t xml:space="preserve">In addition, the Decree 98 </w:t>
            </w:r>
            <w:r w:rsidR="00693560">
              <w:rPr>
                <w:kern w:val="2"/>
                <w14:ligatures w14:val="standardContextual"/>
              </w:rPr>
              <w:t xml:space="preserve">removed the requirement </w:t>
            </w:r>
            <w:r w:rsidR="00EE64AC">
              <w:rPr>
                <w:kern w:val="2"/>
                <w14:ligatures w14:val="standardContextual"/>
              </w:rPr>
              <w:t>to renew</w:t>
            </w:r>
            <w:r w:rsidR="0095324F">
              <w:rPr>
                <w:kern w:val="2"/>
                <w14:ligatures w14:val="standardContextual"/>
              </w:rPr>
              <w:t xml:space="preserve"> </w:t>
            </w:r>
            <w:r w:rsidR="009E57FF">
              <w:rPr>
                <w:kern w:val="2"/>
                <w14:ligatures w14:val="standardContextual"/>
              </w:rPr>
              <w:t xml:space="preserve">the </w:t>
            </w:r>
            <w:r w:rsidR="00833655">
              <w:rPr>
                <w:kern w:val="2"/>
                <w14:ligatures w14:val="standardContextual"/>
              </w:rPr>
              <w:t>authorization</w:t>
            </w:r>
            <w:r w:rsidR="003A66DB">
              <w:rPr>
                <w:kern w:val="2"/>
                <w14:ligatures w14:val="standardContextual"/>
              </w:rPr>
              <w:t xml:space="preserve"> period </w:t>
            </w:r>
            <w:r w:rsidR="00EE64AC">
              <w:rPr>
                <w:kern w:val="2"/>
                <w14:ligatures w14:val="standardContextual"/>
              </w:rPr>
              <w:t xml:space="preserve">every five years </w:t>
            </w:r>
            <w:r w:rsidR="00727D61">
              <w:rPr>
                <w:kern w:val="2"/>
                <w14:ligatures w14:val="standardContextual"/>
              </w:rPr>
              <w:t xml:space="preserve">for </w:t>
            </w:r>
            <w:r w:rsidR="00683395">
              <w:rPr>
                <w:kern w:val="2"/>
                <w14:ligatures w14:val="standardContextual"/>
              </w:rPr>
              <w:t xml:space="preserve">those devices requiring </w:t>
            </w:r>
            <w:r w:rsidR="00833655">
              <w:rPr>
                <w:kern w:val="2"/>
                <w14:ligatures w14:val="standardContextual"/>
              </w:rPr>
              <w:t xml:space="preserve">authorization. </w:t>
            </w:r>
          </w:p>
          <w:p w14:paraId="3C6DAB8A" w14:textId="799B5870" w:rsidR="00BF53CD" w:rsidRPr="000F7824" w:rsidRDefault="00833655" w:rsidP="00D64CD6">
            <w:pPr>
              <w:jc w:val="both"/>
            </w:pPr>
            <w:r>
              <w:t xml:space="preserve">2. </w:t>
            </w:r>
            <w:r w:rsidR="00DA35AC">
              <w:t xml:space="preserve">In 2022, </w:t>
            </w:r>
            <w:r w:rsidR="002F16D3">
              <w:t xml:space="preserve">the Ministry of Agriculture and Rural Development (MARD) issued </w:t>
            </w:r>
            <w:r w:rsidR="00697473">
              <w:t xml:space="preserve">circulars </w:t>
            </w:r>
            <w:r w:rsidR="008D104D" w:rsidRPr="004B1AA8">
              <w:t>06/2022/TT-BNNPTNT</w:t>
            </w:r>
            <w:r w:rsidR="00805666">
              <w:t xml:space="preserve"> and</w:t>
            </w:r>
            <w:r w:rsidR="008D104D">
              <w:t xml:space="preserve"> </w:t>
            </w:r>
            <w:r w:rsidR="00A26962">
              <w:t>09/2022/TT-BNNPTNT</w:t>
            </w:r>
            <w:r w:rsidR="00805666">
              <w:t xml:space="preserve"> to change </w:t>
            </w:r>
            <w:r w:rsidR="00B24DC4">
              <w:t xml:space="preserve">some regulations on </w:t>
            </w:r>
            <w:r w:rsidR="00D03BCE">
              <w:t>quarantine</w:t>
            </w:r>
            <w:r w:rsidR="00B24DC4">
              <w:t xml:space="preserve"> of </w:t>
            </w:r>
            <w:r w:rsidR="009D51A4">
              <w:t>aquatic</w:t>
            </w:r>
            <w:r w:rsidR="00B24DC4">
              <w:t xml:space="preserve"> </w:t>
            </w:r>
            <w:r w:rsidR="00F31B2E">
              <w:t xml:space="preserve">animals and </w:t>
            </w:r>
            <w:r w:rsidR="009D51A4">
              <w:t>animal products</w:t>
            </w:r>
            <w:r w:rsidR="007469E4">
              <w:t xml:space="preserve">. </w:t>
            </w:r>
            <w:r w:rsidR="002C4332">
              <w:t xml:space="preserve">The circulars </w:t>
            </w:r>
            <w:r w:rsidR="009B440D">
              <w:t xml:space="preserve">removed </w:t>
            </w:r>
            <w:r w:rsidR="001263B0">
              <w:t xml:space="preserve">goods of 17 HS codes </w:t>
            </w:r>
            <w:r w:rsidR="0001454F">
              <w:t>(</w:t>
            </w:r>
            <w:r w:rsidR="007F1334">
              <w:t>5,5%</w:t>
            </w:r>
            <w:r w:rsidR="00372580">
              <w:t xml:space="preserve">) </w:t>
            </w:r>
            <w:r w:rsidR="001263B0">
              <w:t xml:space="preserve">from the </w:t>
            </w:r>
            <w:r w:rsidR="0067690C">
              <w:t>quarantine</w:t>
            </w:r>
            <w:r w:rsidR="0001454F">
              <w:t xml:space="preserve"> list</w:t>
            </w:r>
            <w:r w:rsidR="000666A8">
              <w:t xml:space="preserve">, </w:t>
            </w:r>
            <w:r w:rsidR="00AD2613">
              <w:t xml:space="preserve">required </w:t>
            </w:r>
            <w:r w:rsidR="00BD36B3">
              <w:t xml:space="preserve">only 5% sampling </w:t>
            </w:r>
            <w:r w:rsidR="00100316">
              <w:t>for testing</w:t>
            </w:r>
            <w:r w:rsidR="00025B24">
              <w:t xml:space="preserve"> instead of 100%, and </w:t>
            </w:r>
            <w:r w:rsidR="00B00AE5">
              <w:t xml:space="preserve">removed </w:t>
            </w:r>
            <w:r w:rsidR="0067690C">
              <w:t>quarantine</w:t>
            </w:r>
            <w:r w:rsidR="008A54A5">
              <w:t xml:space="preserve"> requirements for processed </w:t>
            </w:r>
            <w:r w:rsidR="000479B5">
              <w:t>pro</w:t>
            </w:r>
            <w:r w:rsidR="00553384">
              <w:t xml:space="preserve">ducts such as </w:t>
            </w:r>
            <w:r w:rsidR="00B01AE6">
              <w:t>cann</w:t>
            </w:r>
            <w:r w:rsidR="00C56A4A">
              <w:t>ed food</w:t>
            </w:r>
            <w:r w:rsidR="00F0387C">
              <w:t xml:space="preserve">, smoked food, </w:t>
            </w:r>
            <w:r w:rsidR="00870072">
              <w:t xml:space="preserve">or </w:t>
            </w:r>
            <w:r w:rsidR="00F0387C">
              <w:t>salted food</w:t>
            </w:r>
            <w:r w:rsidR="00870072">
              <w:t>.</w:t>
            </w:r>
            <w:r w:rsidR="00100316">
              <w:t xml:space="preserve"> </w:t>
            </w:r>
            <w:r w:rsidR="00F55AB3">
              <w:t xml:space="preserve">The animal products imported as materials for processing and exporting </w:t>
            </w:r>
            <w:r w:rsidR="00C72004">
              <w:t xml:space="preserve">are also exempted from </w:t>
            </w:r>
            <w:r w:rsidR="0067690C">
              <w:t>quarantine</w:t>
            </w:r>
            <w:r w:rsidR="00C72004">
              <w:t xml:space="preserve">. </w:t>
            </w:r>
            <w:r w:rsidR="007657D8">
              <w:t xml:space="preserve">Estimation provided by APCA shows that these reform measures can </w:t>
            </w:r>
            <w:r w:rsidR="00C91154">
              <w:t>reduce compliance cost</w:t>
            </w:r>
            <w:r w:rsidR="00E80FDF">
              <w:t xml:space="preserve">s for firms by VND 100 billion (about USD 4 million) per year. </w:t>
            </w:r>
            <w:r w:rsidR="00552EEB">
              <w:t xml:space="preserve"> </w:t>
            </w:r>
          </w:p>
          <w:p w14:paraId="565AA6D2" w14:textId="77777777" w:rsidR="00BF53CD" w:rsidRPr="00AA6635" w:rsidRDefault="00BF53CD">
            <w:pPr>
              <w:jc w:val="both"/>
              <w:rPr>
                <w:kern w:val="2"/>
                <w14:ligatures w14:val="standardContextual"/>
              </w:rPr>
            </w:pPr>
          </w:p>
        </w:tc>
      </w:tr>
    </w:tbl>
    <w:p w14:paraId="32EAD282" w14:textId="77777777" w:rsidR="00F92704" w:rsidRDefault="00F92704" w:rsidP="00852B06">
      <w:pPr>
        <w:jc w:val="both"/>
      </w:pPr>
    </w:p>
    <w:p w14:paraId="10AA8ABF" w14:textId="7CC5757E" w:rsidR="00852B06" w:rsidRPr="00852B06" w:rsidRDefault="00D90CB2" w:rsidP="00852B06">
      <w:pPr>
        <w:jc w:val="both"/>
        <w:rPr>
          <w:kern w:val="2"/>
          <w14:ligatures w14:val="standardContextual"/>
        </w:rPr>
      </w:pPr>
      <w:r>
        <w:rPr>
          <w:b/>
          <w:bCs/>
          <w:kern w:val="2"/>
          <w14:ligatures w14:val="standardContextual"/>
        </w:rPr>
        <w:t>Over half of the</w:t>
      </w:r>
      <w:r w:rsidR="00950F53">
        <w:rPr>
          <w:b/>
          <w:bCs/>
          <w:kern w:val="2"/>
          <w14:ligatures w14:val="standardContextual"/>
        </w:rPr>
        <w:t xml:space="preserve"> </w:t>
      </w:r>
      <w:r w:rsidR="0075372F">
        <w:rPr>
          <w:b/>
          <w:bCs/>
          <w:kern w:val="2"/>
          <w14:ligatures w14:val="standardContextual"/>
        </w:rPr>
        <w:t xml:space="preserve">244 </w:t>
      </w:r>
      <w:r w:rsidR="00B62B27">
        <w:rPr>
          <w:b/>
          <w:bCs/>
          <w:kern w:val="2"/>
          <w14:ligatures w14:val="standardContextual"/>
        </w:rPr>
        <w:t>legal documents issued</w:t>
      </w:r>
      <w:r w:rsidR="00950F53">
        <w:rPr>
          <w:b/>
          <w:bCs/>
          <w:kern w:val="2"/>
          <w14:ligatures w14:val="standardContextual"/>
        </w:rPr>
        <w:t xml:space="preserve"> until </w:t>
      </w:r>
      <w:r w:rsidR="003B20F5">
        <w:rPr>
          <w:b/>
          <w:bCs/>
          <w:kern w:val="2"/>
          <w14:ligatures w14:val="standardContextual"/>
        </w:rPr>
        <w:t xml:space="preserve">the end of </w:t>
      </w:r>
      <w:r w:rsidR="00950F53">
        <w:rPr>
          <w:b/>
          <w:bCs/>
          <w:kern w:val="2"/>
          <w14:ligatures w14:val="standardContextual"/>
        </w:rPr>
        <w:t>2023</w:t>
      </w:r>
      <w:r w:rsidR="00B62B27">
        <w:rPr>
          <w:b/>
          <w:bCs/>
          <w:kern w:val="2"/>
          <w14:ligatures w14:val="standardContextual"/>
        </w:rPr>
        <w:t xml:space="preserve"> </w:t>
      </w:r>
      <w:r w:rsidR="00950F53">
        <w:rPr>
          <w:b/>
          <w:bCs/>
          <w:kern w:val="2"/>
          <w14:ligatures w14:val="standardContextual"/>
        </w:rPr>
        <w:t>were under the jurisdiction of</w:t>
      </w:r>
      <w:r w:rsidR="00852B06" w:rsidRPr="00852B06">
        <w:rPr>
          <w:b/>
          <w:bCs/>
          <w:kern w:val="2"/>
          <w14:ligatures w14:val="standardContextual"/>
        </w:rPr>
        <w:t xml:space="preserve"> five of the 17 ministries and ministry-level agencies targeted by the </w:t>
      </w:r>
      <w:r w:rsidR="00E43179">
        <w:rPr>
          <w:b/>
          <w:bCs/>
          <w:kern w:val="2"/>
          <w14:ligatures w14:val="standardContextual"/>
        </w:rPr>
        <w:t>program</w:t>
      </w:r>
      <w:r w:rsidR="005E0660">
        <w:rPr>
          <w:b/>
          <w:bCs/>
          <w:kern w:val="2"/>
          <w14:ligatures w14:val="standardContextual"/>
        </w:rPr>
        <w:t xml:space="preserve">, </w:t>
      </w:r>
      <w:r w:rsidR="00C74DDD">
        <w:rPr>
          <w:b/>
          <w:bCs/>
          <w:kern w:val="2"/>
          <w14:ligatures w14:val="standardContextual"/>
        </w:rPr>
        <w:t>which suggests an uneven level of participation across the government</w:t>
      </w:r>
      <w:r w:rsidR="00C74DDD">
        <w:rPr>
          <w:kern w:val="2"/>
          <w14:ligatures w14:val="standardContextual"/>
        </w:rPr>
        <w:t>.</w:t>
      </w:r>
      <w:r w:rsidR="00852B06" w:rsidRPr="00852B06">
        <w:rPr>
          <w:kern w:val="2"/>
          <w:vertAlign w:val="superscript"/>
          <w14:ligatures w14:val="standardContextual"/>
        </w:rPr>
        <w:footnoteReference w:id="46"/>
      </w:r>
      <w:r w:rsidR="00852B06" w:rsidRPr="00852B06">
        <w:rPr>
          <w:kern w:val="2"/>
          <w14:ligatures w14:val="standardContextual"/>
        </w:rPr>
        <w:t xml:space="preserve"> </w:t>
      </w:r>
      <w:r w:rsidR="00C74DDD">
        <w:rPr>
          <w:kern w:val="2"/>
          <w14:ligatures w14:val="standardContextual"/>
        </w:rPr>
        <w:t xml:space="preserve">The </w:t>
      </w:r>
      <w:r w:rsidR="00852B06" w:rsidRPr="00852B06">
        <w:rPr>
          <w:kern w:val="2"/>
          <w14:ligatures w14:val="standardContextual"/>
        </w:rPr>
        <w:t xml:space="preserve">Ministry of </w:t>
      </w:r>
      <w:r w:rsidR="00E83220">
        <w:rPr>
          <w:kern w:val="2"/>
          <w14:ligatures w14:val="standardContextual"/>
        </w:rPr>
        <w:t>Transport</w:t>
      </w:r>
      <w:r w:rsidR="00E83220" w:rsidRPr="00852B06">
        <w:rPr>
          <w:kern w:val="2"/>
          <w14:ligatures w14:val="standardContextual"/>
        </w:rPr>
        <w:t xml:space="preserve"> </w:t>
      </w:r>
      <w:r w:rsidR="00852B06" w:rsidRPr="00852B06">
        <w:rPr>
          <w:kern w:val="2"/>
          <w14:ligatures w14:val="standardContextual"/>
        </w:rPr>
        <w:t>(</w:t>
      </w:r>
      <w:r w:rsidR="0014585F">
        <w:rPr>
          <w:kern w:val="2"/>
          <w14:ligatures w14:val="standardContextual"/>
        </w:rPr>
        <w:t>39</w:t>
      </w:r>
      <w:r w:rsidR="00852B06" w:rsidRPr="00852B06">
        <w:rPr>
          <w:kern w:val="2"/>
          <w14:ligatures w14:val="standardContextual"/>
        </w:rPr>
        <w:t>), Ministry of Agriculture and Rural Development (</w:t>
      </w:r>
      <w:r w:rsidR="00FB6024">
        <w:rPr>
          <w:kern w:val="2"/>
          <w14:ligatures w14:val="standardContextual"/>
        </w:rPr>
        <w:t>24</w:t>
      </w:r>
      <w:r w:rsidR="00852B06" w:rsidRPr="00852B06">
        <w:rPr>
          <w:kern w:val="2"/>
          <w14:ligatures w14:val="standardContextual"/>
        </w:rPr>
        <w:t xml:space="preserve">), Ministry of </w:t>
      </w:r>
      <w:r w:rsidR="00E43179">
        <w:rPr>
          <w:kern w:val="2"/>
          <w14:ligatures w14:val="standardContextual"/>
        </w:rPr>
        <w:t>Health</w:t>
      </w:r>
      <w:r w:rsidR="00E43179" w:rsidRPr="00852B06">
        <w:rPr>
          <w:kern w:val="2"/>
          <w14:ligatures w14:val="standardContextual"/>
        </w:rPr>
        <w:t xml:space="preserve"> </w:t>
      </w:r>
      <w:r w:rsidR="00852B06" w:rsidRPr="00852B06">
        <w:rPr>
          <w:kern w:val="2"/>
          <w14:ligatures w14:val="standardContextual"/>
        </w:rPr>
        <w:t>(</w:t>
      </w:r>
      <w:r w:rsidR="003C66C9" w:rsidRPr="00852B06">
        <w:rPr>
          <w:kern w:val="2"/>
          <w14:ligatures w14:val="standardContextual"/>
        </w:rPr>
        <w:t>2</w:t>
      </w:r>
      <w:r w:rsidR="003C66C9">
        <w:rPr>
          <w:kern w:val="2"/>
          <w14:ligatures w14:val="standardContextual"/>
        </w:rPr>
        <w:t>4</w:t>
      </w:r>
      <w:r w:rsidR="00852B06" w:rsidRPr="00852B06">
        <w:rPr>
          <w:kern w:val="2"/>
          <w14:ligatures w14:val="standardContextual"/>
        </w:rPr>
        <w:t xml:space="preserve">), </w:t>
      </w:r>
      <w:r w:rsidR="009255FD" w:rsidRPr="00852B06">
        <w:rPr>
          <w:kern w:val="2"/>
          <w14:ligatures w14:val="standardContextual"/>
        </w:rPr>
        <w:t>Ministry of Information and Communications (</w:t>
      </w:r>
      <w:r w:rsidR="009255FD">
        <w:rPr>
          <w:kern w:val="2"/>
          <w14:ligatures w14:val="standardContextual"/>
        </w:rPr>
        <w:t>22</w:t>
      </w:r>
      <w:r w:rsidR="009255FD" w:rsidRPr="00852B06">
        <w:rPr>
          <w:kern w:val="2"/>
          <w14:ligatures w14:val="standardContextual"/>
        </w:rPr>
        <w:t>)</w:t>
      </w:r>
      <w:r w:rsidR="009255FD">
        <w:rPr>
          <w:kern w:val="2"/>
          <w14:ligatures w14:val="standardContextual"/>
        </w:rPr>
        <w:t xml:space="preserve">, </w:t>
      </w:r>
      <w:r w:rsidR="00E43179">
        <w:rPr>
          <w:kern w:val="2"/>
          <w14:ligatures w14:val="standardContextual"/>
        </w:rPr>
        <w:t xml:space="preserve">and </w:t>
      </w:r>
      <w:r w:rsidR="00852B06" w:rsidRPr="00852B06">
        <w:rPr>
          <w:kern w:val="2"/>
          <w14:ligatures w14:val="standardContextual"/>
        </w:rPr>
        <w:t>Ministry of Finance (</w:t>
      </w:r>
      <w:r w:rsidR="003C66C9">
        <w:rPr>
          <w:kern w:val="2"/>
          <w14:ligatures w14:val="standardContextual"/>
        </w:rPr>
        <w:t>22</w:t>
      </w:r>
      <w:r w:rsidR="00852B06" w:rsidRPr="00852B06">
        <w:rPr>
          <w:kern w:val="2"/>
          <w14:ligatures w14:val="standardContextual"/>
        </w:rPr>
        <w:t>)</w:t>
      </w:r>
      <w:r w:rsidR="00C74DDD">
        <w:rPr>
          <w:kern w:val="2"/>
          <w14:ligatures w14:val="standardContextual"/>
        </w:rPr>
        <w:t xml:space="preserve"> </w:t>
      </w:r>
      <w:r w:rsidR="009A4AB4">
        <w:rPr>
          <w:kern w:val="2"/>
          <w14:ligatures w14:val="standardContextual"/>
        </w:rPr>
        <w:t>were responsible for 54 percent of the documents issued to simplify or reduce business regulations</w:t>
      </w:r>
      <w:r w:rsidR="009619CE">
        <w:rPr>
          <w:kern w:val="2"/>
          <w14:ligatures w14:val="standardContextual"/>
        </w:rPr>
        <w:t xml:space="preserve"> (</w:t>
      </w:r>
      <w:r w:rsidR="00B16BA6">
        <w:rPr>
          <w:kern w:val="2"/>
          <w14:ligatures w14:val="standardContextual"/>
        </w:rPr>
        <w:t xml:space="preserve">Figure </w:t>
      </w:r>
      <w:r w:rsidR="009619CE">
        <w:rPr>
          <w:kern w:val="2"/>
          <w14:ligatures w14:val="standardContextual"/>
        </w:rPr>
        <w:t>1</w:t>
      </w:r>
      <w:r w:rsidR="001C4249">
        <w:rPr>
          <w:kern w:val="2"/>
          <w14:ligatures w14:val="standardContextual"/>
        </w:rPr>
        <w:t>1</w:t>
      </w:r>
      <w:r w:rsidR="009619CE">
        <w:rPr>
          <w:kern w:val="2"/>
          <w14:ligatures w14:val="standardContextual"/>
        </w:rPr>
        <w:t>)</w:t>
      </w:r>
      <w:r w:rsidR="00852B06" w:rsidRPr="00852B06">
        <w:rPr>
          <w:kern w:val="2"/>
          <w14:ligatures w14:val="standardContextual"/>
        </w:rPr>
        <w:t>.</w:t>
      </w:r>
      <w:r w:rsidR="006E74D0">
        <w:rPr>
          <w:kern w:val="2"/>
          <w14:ligatures w14:val="standardContextual"/>
        </w:rPr>
        <w:t xml:space="preserve"> </w:t>
      </w:r>
      <w:r w:rsidR="005F2EFC">
        <w:rPr>
          <w:kern w:val="2"/>
          <w14:ligatures w14:val="standardContextual"/>
        </w:rPr>
        <w:t xml:space="preserve">The first four </w:t>
      </w:r>
      <w:r w:rsidR="009E72E1">
        <w:rPr>
          <w:kern w:val="2"/>
          <w14:ligatures w14:val="standardContextual"/>
        </w:rPr>
        <w:t>m</w:t>
      </w:r>
      <w:r w:rsidR="005F2EFC">
        <w:rPr>
          <w:kern w:val="2"/>
          <w14:ligatures w14:val="standardContextual"/>
        </w:rPr>
        <w:t xml:space="preserve">inistries were also </w:t>
      </w:r>
      <w:r w:rsidR="004D6E06">
        <w:rPr>
          <w:kern w:val="2"/>
          <w14:ligatures w14:val="standardContextual"/>
        </w:rPr>
        <w:t xml:space="preserve">responsible for </w:t>
      </w:r>
      <w:r w:rsidR="00D15B8B">
        <w:rPr>
          <w:kern w:val="2"/>
          <w14:ligatures w14:val="standardContextual"/>
        </w:rPr>
        <w:t xml:space="preserve">almost </w:t>
      </w:r>
      <w:r w:rsidR="00B90774">
        <w:rPr>
          <w:kern w:val="2"/>
          <w14:ligatures w14:val="standardContextual"/>
        </w:rPr>
        <w:t>30 percent</w:t>
      </w:r>
      <w:r w:rsidR="004D6E06">
        <w:rPr>
          <w:kern w:val="2"/>
          <w14:ligatures w14:val="standardContextual"/>
        </w:rPr>
        <w:t xml:space="preserve"> of the 107 legal documents pending amendment as of December 2024.</w:t>
      </w:r>
      <w:r w:rsidR="002824E5">
        <w:rPr>
          <w:kern w:val="2"/>
          <w14:ligatures w14:val="standardContextual"/>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852"/>
      </w:tblGrid>
      <w:tr w:rsidR="00FF544D" w:rsidRPr="00852B06" w14:paraId="43D9025F" w14:textId="77777777" w:rsidTr="001A3CAE">
        <w:tc>
          <w:tcPr>
            <w:tcW w:w="4456" w:type="dxa"/>
          </w:tcPr>
          <w:p w14:paraId="07EED8D3" w14:textId="2462DEF8" w:rsidR="006D7CA7" w:rsidRPr="00273265" w:rsidRDefault="006D7CA7" w:rsidP="00CD082D">
            <w:pPr>
              <w:jc w:val="both"/>
              <w:rPr>
                <w:rFonts w:cstheme="minorHAnsi"/>
                <w:b/>
                <w:bCs/>
                <w:color w:val="4472C4" w:themeColor="accent1"/>
                <w:sz w:val="20"/>
                <w:szCs w:val="20"/>
              </w:rPr>
            </w:pPr>
            <w:r w:rsidRPr="00273265">
              <w:rPr>
                <w:rFonts w:cstheme="minorHAnsi"/>
                <w:b/>
                <w:bCs/>
                <w:color w:val="4472C4" w:themeColor="accent1"/>
                <w:sz w:val="20"/>
                <w:szCs w:val="20"/>
              </w:rPr>
              <w:t>Figure 1</w:t>
            </w:r>
            <w:r w:rsidR="00B16BA6">
              <w:rPr>
                <w:rFonts w:cstheme="minorHAnsi"/>
                <w:b/>
                <w:bCs/>
                <w:color w:val="4472C4" w:themeColor="accent1"/>
                <w:sz w:val="20"/>
                <w:szCs w:val="20"/>
              </w:rPr>
              <w:t>0</w:t>
            </w:r>
            <w:r w:rsidRPr="00273265">
              <w:rPr>
                <w:rFonts w:cstheme="minorHAnsi"/>
                <w:b/>
                <w:bCs/>
                <w:color w:val="4472C4" w:themeColor="accent1"/>
                <w:sz w:val="20"/>
                <w:szCs w:val="20"/>
              </w:rPr>
              <w:t>. Type of legal instruments simplifying or reducing business regulations</w:t>
            </w:r>
          </w:p>
        </w:tc>
        <w:tc>
          <w:tcPr>
            <w:tcW w:w="4904" w:type="dxa"/>
          </w:tcPr>
          <w:p w14:paraId="4F25A9E7" w14:textId="276A007B" w:rsidR="00EB72E3" w:rsidRPr="00EB72E3" w:rsidRDefault="00EB72E3" w:rsidP="00EB72E3">
            <w:pPr>
              <w:jc w:val="both"/>
              <w:rPr>
                <w:rFonts w:cstheme="minorHAnsi"/>
                <w:b/>
                <w:bCs/>
                <w:color w:val="4472C4" w:themeColor="accent1"/>
                <w:sz w:val="20"/>
                <w:szCs w:val="20"/>
              </w:rPr>
            </w:pPr>
            <w:r>
              <w:rPr>
                <w:rFonts w:cstheme="minorHAnsi"/>
                <w:b/>
                <w:bCs/>
                <w:color w:val="4472C4" w:themeColor="accent1"/>
                <w:sz w:val="20"/>
                <w:szCs w:val="20"/>
              </w:rPr>
              <w:t>Figure 1</w:t>
            </w:r>
            <w:r w:rsidR="00B16BA6">
              <w:rPr>
                <w:rFonts w:cstheme="minorHAnsi"/>
                <w:b/>
                <w:bCs/>
                <w:color w:val="4472C4" w:themeColor="accent1"/>
                <w:sz w:val="20"/>
                <w:szCs w:val="20"/>
              </w:rPr>
              <w:t>1</w:t>
            </w:r>
            <w:r>
              <w:rPr>
                <w:rFonts w:cstheme="minorHAnsi"/>
                <w:b/>
                <w:bCs/>
                <w:color w:val="4472C4" w:themeColor="accent1"/>
                <w:sz w:val="20"/>
                <w:szCs w:val="20"/>
              </w:rPr>
              <w:t xml:space="preserve">. </w:t>
            </w:r>
            <w:r w:rsidRPr="00EB72E3">
              <w:rPr>
                <w:rFonts w:cstheme="minorHAnsi"/>
                <w:b/>
                <w:bCs/>
                <w:color w:val="4472C4" w:themeColor="accent1"/>
                <w:sz w:val="20"/>
                <w:szCs w:val="20"/>
              </w:rPr>
              <w:t xml:space="preserve">Number of legal documents </w:t>
            </w:r>
            <w:r w:rsidR="0032209B">
              <w:rPr>
                <w:rFonts w:cstheme="minorHAnsi"/>
                <w:b/>
                <w:bCs/>
                <w:color w:val="4472C4" w:themeColor="accent1"/>
                <w:sz w:val="20"/>
                <w:szCs w:val="20"/>
              </w:rPr>
              <w:t>issued</w:t>
            </w:r>
            <w:r>
              <w:rPr>
                <w:rFonts w:cstheme="minorHAnsi"/>
                <w:b/>
                <w:bCs/>
                <w:color w:val="4472C4" w:themeColor="accent1"/>
                <w:sz w:val="20"/>
                <w:szCs w:val="20"/>
              </w:rPr>
              <w:t xml:space="preserve"> </w:t>
            </w:r>
            <w:r w:rsidRPr="00EB72E3">
              <w:rPr>
                <w:rFonts w:cstheme="minorHAnsi"/>
                <w:b/>
                <w:bCs/>
                <w:color w:val="4472C4" w:themeColor="accent1"/>
                <w:sz w:val="20"/>
                <w:szCs w:val="20"/>
              </w:rPr>
              <w:t>and not yet amended by Ministry</w:t>
            </w:r>
          </w:p>
          <w:p w14:paraId="7100B97E" w14:textId="77777777" w:rsidR="006D7CA7" w:rsidRPr="006D7CA7" w:rsidDel="005567B5" w:rsidRDefault="006D7CA7" w:rsidP="00852B06">
            <w:pPr>
              <w:jc w:val="both"/>
              <w:rPr>
                <w:rFonts w:cstheme="minorHAnsi"/>
                <w:b/>
                <w:bCs/>
                <w:color w:val="4472C4" w:themeColor="accent1"/>
                <w:sz w:val="20"/>
                <w:szCs w:val="20"/>
              </w:rPr>
            </w:pPr>
          </w:p>
        </w:tc>
      </w:tr>
      <w:tr w:rsidR="00FF544D" w:rsidRPr="00852B06" w14:paraId="795B1E7E" w14:textId="77777777" w:rsidTr="00CD082D">
        <w:tc>
          <w:tcPr>
            <w:tcW w:w="4456" w:type="dxa"/>
          </w:tcPr>
          <w:p w14:paraId="5C9A8B68" w14:textId="295EDD81" w:rsidR="00852B06" w:rsidRPr="00852B06" w:rsidRDefault="00CD082D" w:rsidP="00852B06">
            <w:pPr>
              <w:jc w:val="both"/>
            </w:pPr>
            <w:r>
              <w:rPr>
                <w:noProof/>
                <w14:ligatures w14:val="standardContextual"/>
              </w:rPr>
              <w:drawing>
                <wp:inline distT="0" distB="0" distL="0" distR="0" wp14:anchorId="7E7A1BB7" wp14:editId="00D4BB73">
                  <wp:extent cx="2804160" cy="2933444"/>
                  <wp:effectExtent l="0" t="0" r="0" b="635"/>
                  <wp:docPr id="10" name="Chart 10">
                    <a:extLst xmlns:a="http://schemas.openxmlformats.org/drawingml/2006/main">
                      <a:ext uri="{FF2B5EF4-FFF2-40B4-BE49-F238E27FC236}">
                        <a16:creationId xmlns:a16="http://schemas.microsoft.com/office/drawing/2014/main" id="{6ACE4547-ECD3-AA5E-1D9A-148016538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04" w:type="dxa"/>
          </w:tcPr>
          <w:p w14:paraId="2FEEDB2D" w14:textId="2C3E4575" w:rsidR="00852B06" w:rsidRPr="00852B06" w:rsidRDefault="001A3CAE" w:rsidP="00852B06">
            <w:pPr>
              <w:jc w:val="both"/>
            </w:pPr>
            <w:r>
              <w:rPr>
                <w:noProof/>
                <w14:ligatures w14:val="standardContextual"/>
              </w:rPr>
              <w:drawing>
                <wp:inline distT="0" distB="0" distL="0" distR="0" wp14:anchorId="154536D2" wp14:editId="0A802577">
                  <wp:extent cx="3022600" cy="3929204"/>
                  <wp:effectExtent l="0" t="0" r="6350" b="0"/>
                  <wp:docPr id="1" name="Chart 1">
                    <a:extLst xmlns:a="http://schemas.openxmlformats.org/drawingml/2006/main">
                      <a:ext uri="{FF2B5EF4-FFF2-40B4-BE49-F238E27FC236}">
                        <a16:creationId xmlns:a16="http://schemas.microsoft.com/office/drawing/2014/main" id="{3C3A5F0B-EBEB-9CC1-AD64-A3EB060B6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040F0" w:rsidRPr="00852B06" w14:paraId="0EA32BFB" w14:textId="77777777" w:rsidTr="001A3CAE">
        <w:tc>
          <w:tcPr>
            <w:tcW w:w="9360" w:type="dxa"/>
            <w:gridSpan w:val="2"/>
          </w:tcPr>
          <w:p w14:paraId="4E578557" w14:textId="61AD25B6" w:rsidR="001040F0" w:rsidRPr="004D3CF1" w:rsidDel="005567B5" w:rsidRDefault="001040F0" w:rsidP="00852B06">
            <w:pPr>
              <w:jc w:val="both"/>
              <w:rPr>
                <w:rFonts w:asciiTheme="majorHAnsi" w:hAnsiTheme="majorHAnsi" w:cstheme="majorHAnsi"/>
                <w:b/>
                <w:i/>
                <w:color w:val="7F7F7F" w:themeColor="text1" w:themeTint="80"/>
                <w:sz w:val="18"/>
                <w:szCs w:val="18"/>
              </w:rPr>
            </w:pPr>
            <w:r w:rsidRPr="004D3CF1">
              <w:rPr>
                <w:rFonts w:asciiTheme="majorHAnsi" w:hAnsiTheme="majorHAnsi" w:cstheme="majorHAnsi"/>
                <w:i/>
                <w:color w:val="7F7F7F" w:themeColor="text1" w:themeTint="80"/>
                <w:kern w:val="2"/>
                <w:sz w:val="18"/>
                <w:szCs w:val="18"/>
                <w14:ligatures w14:val="standardContextual"/>
              </w:rPr>
              <w:t>Source: Authors’ calculations based on APCA/OOG data</w:t>
            </w:r>
            <w:r>
              <w:rPr>
                <w:rFonts w:asciiTheme="majorHAnsi" w:hAnsiTheme="majorHAnsi" w:cstheme="majorHAnsi"/>
                <w:i/>
                <w:color w:val="7F7F7F" w:themeColor="text1" w:themeTint="80"/>
                <w:kern w:val="2"/>
                <w:sz w:val="18"/>
                <w:szCs w:val="18"/>
                <w14:ligatures w14:val="standardContextual"/>
              </w:rPr>
              <w:t>.</w:t>
            </w:r>
          </w:p>
        </w:tc>
      </w:tr>
    </w:tbl>
    <w:p w14:paraId="3E70B834" w14:textId="7457C2B6" w:rsidR="099548DA" w:rsidRDefault="00575285" w:rsidP="15E5BA73">
      <w:pPr>
        <w:jc w:val="both"/>
      </w:pPr>
      <w:r>
        <w:rPr>
          <w:b/>
          <w:bCs/>
        </w:rPr>
        <w:lastRenderedPageBreak/>
        <w:t>Most</w:t>
      </w:r>
      <w:r w:rsidR="00016207">
        <w:rPr>
          <w:b/>
          <w:bCs/>
        </w:rPr>
        <w:t xml:space="preserve"> regulatory simplification focused on </w:t>
      </w:r>
      <w:r w:rsidR="2E6FB321" w:rsidRPr="15E5BA73">
        <w:rPr>
          <w:b/>
          <w:bCs/>
        </w:rPr>
        <w:t xml:space="preserve">administrative procedures. </w:t>
      </w:r>
      <w:r w:rsidR="2E6FB321">
        <w:t>In 2023, two-thirds of the business regulations simplified or eliminated were administrative procedures, followed by technical regulations and standards (23 percent), reporting requirements (6 percent) and technical requirements for import and export (4 percent), while only 2 of the 628 business regulations affected were related to investment conditions.</w:t>
      </w:r>
      <w:r w:rsidR="743FC963">
        <w:t xml:space="preserve"> </w:t>
      </w:r>
      <w:r w:rsidR="13B5A717">
        <w:t xml:space="preserve">Due to limited data and time, it is not possible to evaluate the </w:t>
      </w:r>
      <w:r w:rsidR="002867EB">
        <w:t xml:space="preserve">real </w:t>
      </w:r>
      <w:r w:rsidR="13B5A717">
        <w:t>impact</w:t>
      </w:r>
      <w:r w:rsidR="002867EB">
        <w:t>s</w:t>
      </w:r>
      <w:r w:rsidR="13B5A717">
        <w:t xml:space="preserve"> of these reforms. However,</w:t>
      </w:r>
      <w:r w:rsidR="712C5C84">
        <w:t xml:space="preserve"> business representatives</w:t>
      </w:r>
      <w:r w:rsidR="00C11EA3">
        <w:t xml:space="preserve"> </w:t>
      </w:r>
      <w:r w:rsidR="00C11EA3" w:rsidRPr="00C11EA3">
        <w:t>expressed their desire to see reforms focusing more on more binding constraints</w:t>
      </w:r>
      <w:r w:rsidR="00C11EA3">
        <w:t>,</w:t>
      </w:r>
      <w:r w:rsidR="002A5281">
        <w:t xml:space="preserve"> </w:t>
      </w:r>
      <w:r w:rsidR="00485344">
        <w:t xml:space="preserve">such as technical </w:t>
      </w:r>
      <w:r w:rsidR="00254070">
        <w:t xml:space="preserve">regulations </w:t>
      </w:r>
      <w:r w:rsidR="00485344">
        <w:t>or investment conditions</w:t>
      </w:r>
      <w:r w:rsidR="146CC166">
        <w:t>. This is in line with the limited number of simplified investment conditions</w:t>
      </w:r>
      <w:r w:rsidR="006B002C">
        <w:t xml:space="preserve"> (see </w:t>
      </w:r>
      <w:r w:rsidR="007877C8">
        <w:t>discussion on scope and relevance below)</w:t>
      </w:r>
      <w:r w:rsidR="146CC166">
        <w:t xml:space="preserve">. </w:t>
      </w:r>
    </w:p>
    <w:p w14:paraId="1F3CC666" w14:textId="6D42F2F9" w:rsidR="00852B06" w:rsidRDefault="007877C8" w:rsidP="00852B06">
      <w:pPr>
        <w:jc w:val="both"/>
        <w:rPr>
          <w:kern w:val="2"/>
          <w14:ligatures w14:val="standardContextual"/>
        </w:rPr>
      </w:pPr>
      <w:r>
        <w:rPr>
          <w:b/>
          <w:bCs/>
          <w:kern w:val="2"/>
          <w14:ligatures w14:val="standardContextual"/>
        </w:rPr>
        <w:t xml:space="preserve">Data limitations </w:t>
      </w:r>
      <w:r w:rsidR="00016207">
        <w:rPr>
          <w:b/>
          <w:bCs/>
          <w:kern w:val="2"/>
          <w14:ligatures w14:val="standardContextual"/>
        </w:rPr>
        <w:t>make it difficult to</w:t>
      </w:r>
      <w:r>
        <w:rPr>
          <w:b/>
          <w:bCs/>
          <w:kern w:val="2"/>
          <w14:ligatures w14:val="standardContextual"/>
        </w:rPr>
        <w:t xml:space="preserve"> </w:t>
      </w:r>
      <w:r w:rsidR="4F80BDEC" w:rsidRPr="00852B06">
        <w:rPr>
          <w:b/>
          <w:bCs/>
          <w:kern w:val="2"/>
          <w14:ligatures w14:val="standardContextual"/>
        </w:rPr>
        <w:t xml:space="preserve">assess progress towards </w:t>
      </w:r>
      <w:r w:rsidR="00016207">
        <w:rPr>
          <w:b/>
          <w:bCs/>
          <w:kern w:val="2"/>
          <w14:ligatures w14:val="standardContextual"/>
        </w:rPr>
        <w:t>the target reduction of c</w:t>
      </w:r>
      <w:r w:rsidR="4F80BDEC" w:rsidRPr="00852B06">
        <w:rPr>
          <w:b/>
          <w:bCs/>
          <w:kern w:val="2"/>
          <w14:ligatures w14:val="standardContextual"/>
        </w:rPr>
        <w:t xml:space="preserve">ompliance costs by 20 percent. </w:t>
      </w:r>
      <w:r w:rsidR="4F80BDEC" w:rsidRPr="00852B06">
        <w:rPr>
          <w:kern w:val="2"/>
          <w14:ligatures w14:val="standardContextual"/>
        </w:rPr>
        <w:t>For regulations introducing or making changes to administrative procedures,</w:t>
      </w:r>
      <w:r w:rsidR="4F80BDEC" w:rsidRPr="00852B06">
        <w:rPr>
          <w:b/>
          <w:bCs/>
          <w:kern w:val="2"/>
          <w14:ligatures w14:val="standardContextual"/>
        </w:rPr>
        <w:t xml:space="preserve"> </w:t>
      </w:r>
      <w:r w:rsidR="4F80BDEC" w:rsidRPr="00852B06">
        <w:rPr>
          <w:kern w:val="2"/>
          <w14:ligatures w14:val="standardContextual"/>
        </w:rPr>
        <w:t>the government entity responsible for drafting a regulation is required to assess the impact of such regulation on administrative procedures, including the cost of complying with regulation.</w:t>
      </w:r>
      <w:r w:rsidR="00852B06" w:rsidRPr="00852B06">
        <w:rPr>
          <w:kern w:val="2"/>
          <w:vertAlign w:val="superscript"/>
          <w14:ligatures w14:val="standardContextual"/>
        </w:rPr>
        <w:footnoteReference w:id="47"/>
      </w:r>
      <w:r w:rsidR="4F80BDEC" w:rsidRPr="00852B06">
        <w:rPr>
          <w:kern w:val="2"/>
          <w14:ligatures w14:val="standardContextual"/>
        </w:rPr>
        <w:t xml:space="preserve"> APCA</w:t>
      </w:r>
      <w:r w:rsidR="6B7A3E45">
        <w:rPr>
          <w:kern w:val="2"/>
          <w14:ligatures w14:val="standardContextual"/>
        </w:rPr>
        <w:t>/OOG</w:t>
      </w:r>
      <w:r w:rsidR="4F80BDEC" w:rsidRPr="00852B06">
        <w:rPr>
          <w:kern w:val="2"/>
          <w14:ligatures w14:val="standardContextual"/>
        </w:rPr>
        <w:t xml:space="preserve"> has developed guidance on how to calculate compliance costs of administrative procedures,</w:t>
      </w:r>
      <w:r w:rsidR="00852B06" w:rsidRPr="00852B06">
        <w:rPr>
          <w:kern w:val="2"/>
          <w:vertAlign w:val="superscript"/>
          <w14:ligatures w14:val="standardContextual"/>
        </w:rPr>
        <w:footnoteReference w:id="48"/>
      </w:r>
      <w:r w:rsidR="4F80BDEC" w:rsidRPr="00852B06">
        <w:rPr>
          <w:kern w:val="2"/>
          <w14:ligatures w14:val="standardContextual"/>
        </w:rPr>
        <w:t xml:space="preserve"> based on the Standard Cost Model.</w:t>
      </w:r>
      <w:r w:rsidR="00852B06" w:rsidRPr="00852B06">
        <w:rPr>
          <w:kern w:val="2"/>
          <w:vertAlign w:val="superscript"/>
          <w14:ligatures w14:val="standardContextual"/>
        </w:rPr>
        <w:footnoteReference w:id="49"/>
      </w:r>
      <w:r w:rsidR="4F80BDEC" w:rsidRPr="00852B06">
        <w:rPr>
          <w:kern w:val="2"/>
          <w14:ligatures w14:val="standardContextual"/>
        </w:rPr>
        <w:t xml:space="preserve"> Resolution 68 requested </w:t>
      </w:r>
      <w:r w:rsidR="420C99CF">
        <w:rPr>
          <w:kern w:val="2"/>
          <w14:ligatures w14:val="standardContextual"/>
        </w:rPr>
        <w:t>m</w:t>
      </w:r>
      <w:r w:rsidR="420C99CF" w:rsidRPr="00852B06">
        <w:rPr>
          <w:kern w:val="2"/>
          <w14:ligatures w14:val="standardContextual"/>
        </w:rPr>
        <w:t xml:space="preserve">inistries </w:t>
      </w:r>
      <w:r w:rsidR="4F80BDEC" w:rsidRPr="00852B06">
        <w:rPr>
          <w:kern w:val="2"/>
          <w14:ligatures w14:val="standardContextual"/>
        </w:rPr>
        <w:t xml:space="preserve">to update the calculation of compliance costs </w:t>
      </w:r>
      <w:r w:rsidR="55D8A380">
        <w:rPr>
          <w:kern w:val="2"/>
          <w14:ligatures w14:val="standardContextual"/>
        </w:rPr>
        <w:t xml:space="preserve">of business regulations under their jurisdiction </w:t>
      </w:r>
      <w:r w:rsidR="4F80BDEC" w:rsidRPr="00852B06">
        <w:rPr>
          <w:kern w:val="2"/>
          <w14:ligatures w14:val="standardContextual"/>
        </w:rPr>
        <w:t xml:space="preserve">in an </w:t>
      </w:r>
      <w:r w:rsidR="70E617D8">
        <w:rPr>
          <w:kern w:val="2"/>
          <w14:ligatures w14:val="standardContextual"/>
        </w:rPr>
        <w:t>online database</w:t>
      </w:r>
      <w:r w:rsidR="4F80BDEC" w:rsidRPr="00852B06">
        <w:rPr>
          <w:kern w:val="2"/>
          <w14:ligatures w14:val="standardContextual"/>
        </w:rPr>
        <w:t>, under the oversight of APCA</w:t>
      </w:r>
      <w:r w:rsidR="70E617D8">
        <w:rPr>
          <w:kern w:val="2"/>
          <w14:ligatures w14:val="standardContextual"/>
        </w:rPr>
        <w:t>/OOG</w:t>
      </w:r>
      <w:r w:rsidR="4F80BDEC" w:rsidRPr="00852B06">
        <w:rPr>
          <w:kern w:val="2"/>
          <w14:ligatures w14:val="standardContextual"/>
        </w:rPr>
        <w:t>, with a deadline of October 31</w:t>
      </w:r>
      <w:r w:rsidR="4F80BDEC" w:rsidRPr="00852B06">
        <w:rPr>
          <w:kern w:val="2"/>
          <w:vertAlign w:val="superscript"/>
          <w14:ligatures w14:val="standardContextual"/>
        </w:rPr>
        <w:t>st</w:t>
      </w:r>
      <w:r w:rsidR="4F80BDEC" w:rsidRPr="00852B06">
        <w:rPr>
          <w:kern w:val="2"/>
          <w14:ligatures w14:val="standardContextual"/>
        </w:rPr>
        <w:t>, 2020</w:t>
      </w:r>
      <w:r w:rsidR="4F80BDEC" w:rsidRPr="00CE2233">
        <w:rPr>
          <w:kern w:val="2"/>
          <w14:ligatures w14:val="standardContextual"/>
        </w:rPr>
        <w:t xml:space="preserve">. In practice, </w:t>
      </w:r>
      <w:r w:rsidR="55D8A380" w:rsidRPr="004D3CF1">
        <w:rPr>
          <w:kern w:val="2"/>
          <w14:ligatures w14:val="standardContextual"/>
        </w:rPr>
        <w:t>not all the</w:t>
      </w:r>
      <w:r w:rsidR="00F45046">
        <w:rPr>
          <w:kern w:val="2"/>
          <w14:ligatures w14:val="standardContextual"/>
        </w:rPr>
        <w:t xml:space="preserve"> ministries provided</w:t>
      </w:r>
      <w:r w:rsidR="55D8A380" w:rsidRPr="004D3CF1">
        <w:rPr>
          <w:kern w:val="2"/>
          <w14:ligatures w14:val="standardContextual"/>
        </w:rPr>
        <w:t xml:space="preserve"> information by the deadline</w:t>
      </w:r>
      <w:r w:rsidR="55D8A380">
        <w:rPr>
          <w:kern w:val="2"/>
          <w14:ligatures w14:val="standardContextual"/>
        </w:rPr>
        <w:t>, although m</w:t>
      </w:r>
      <w:r w:rsidR="55D8A380" w:rsidRPr="004D3CF1">
        <w:rPr>
          <w:kern w:val="2"/>
          <w14:ligatures w14:val="standardContextual"/>
        </w:rPr>
        <w:t xml:space="preserve">ost </w:t>
      </w:r>
      <w:r w:rsidR="420C99CF">
        <w:rPr>
          <w:kern w:val="2"/>
          <w14:ligatures w14:val="standardContextual"/>
        </w:rPr>
        <w:t>m</w:t>
      </w:r>
      <w:r w:rsidR="55D8A380" w:rsidRPr="004D3CF1">
        <w:rPr>
          <w:kern w:val="2"/>
          <w14:ligatures w14:val="standardContextual"/>
        </w:rPr>
        <w:t>inistries have provided information on compliance costs</w:t>
      </w:r>
      <w:r w:rsidR="55D8A380">
        <w:rPr>
          <w:kern w:val="2"/>
          <w14:ligatures w14:val="standardContextual"/>
        </w:rPr>
        <w:t xml:space="preserve">. </w:t>
      </w:r>
      <w:r w:rsidR="55D8A380" w:rsidRPr="002F03AD">
        <w:rPr>
          <w:kern w:val="2"/>
          <w14:ligatures w14:val="standardContextual"/>
        </w:rPr>
        <w:t xml:space="preserve">Analysis of 4,632 </w:t>
      </w:r>
      <w:r w:rsidR="55D8A380">
        <w:rPr>
          <w:kern w:val="2"/>
          <w14:ligatures w14:val="standardContextual"/>
        </w:rPr>
        <w:t xml:space="preserve">administrative procedures and reporting requirements </w:t>
      </w:r>
      <w:r w:rsidR="55D8A380" w:rsidRPr="002F03AD">
        <w:rPr>
          <w:kern w:val="2"/>
          <w14:ligatures w14:val="standardContextual"/>
        </w:rPr>
        <w:t>found that 9</w:t>
      </w:r>
      <w:r w:rsidR="55D8A380">
        <w:rPr>
          <w:kern w:val="2"/>
          <w14:ligatures w14:val="standardContextual"/>
        </w:rPr>
        <w:t>5 percent</w:t>
      </w:r>
      <w:r w:rsidR="55D8A380" w:rsidRPr="002F03AD">
        <w:rPr>
          <w:kern w:val="2"/>
          <w14:ligatures w14:val="standardContextual"/>
        </w:rPr>
        <w:t xml:space="preserve"> have some </w:t>
      </w:r>
      <w:r w:rsidR="09F78846">
        <w:rPr>
          <w:kern w:val="2"/>
          <w14:ligatures w14:val="standardContextual"/>
        </w:rPr>
        <w:t xml:space="preserve">compliance cost </w:t>
      </w:r>
      <w:r w:rsidR="55D8A380" w:rsidRPr="002F03AD">
        <w:rPr>
          <w:kern w:val="2"/>
          <w14:ligatures w14:val="standardContextual"/>
        </w:rPr>
        <w:t>data (</w:t>
      </w:r>
      <w:r w:rsidR="005F417F">
        <w:rPr>
          <w:kern w:val="2"/>
          <w14:ligatures w14:val="standardContextual"/>
        </w:rPr>
        <w:t>Figure 12</w:t>
      </w:r>
      <w:r w:rsidR="55D8A380">
        <w:rPr>
          <w:kern w:val="2"/>
          <w14:ligatures w14:val="standardContextual"/>
        </w:rPr>
        <w:t>)</w:t>
      </w:r>
      <w:r w:rsidR="004B477D">
        <w:rPr>
          <w:kern w:val="2"/>
          <w14:ligatures w14:val="standardContextual"/>
        </w:rPr>
        <w:t xml:space="preserve">. However, </w:t>
      </w:r>
      <w:r w:rsidR="55D8A380">
        <w:rPr>
          <w:kern w:val="2"/>
          <w14:ligatures w14:val="standardContextual"/>
        </w:rPr>
        <w:t xml:space="preserve">the analysis </w:t>
      </w:r>
      <w:r w:rsidR="00655743">
        <w:rPr>
          <w:kern w:val="2"/>
          <w14:ligatures w14:val="standardContextual"/>
        </w:rPr>
        <w:t xml:space="preserve">identified </w:t>
      </w:r>
      <w:r w:rsidR="55D8A380">
        <w:rPr>
          <w:kern w:val="2"/>
          <w14:ligatures w14:val="standardContextual"/>
        </w:rPr>
        <w:t>potential quality issues</w:t>
      </w:r>
      <w:r w:rsidR="00C91B2B">
        <w:rPr>
          <w:kern w:val="2"/>
          <w14:ligatures w14:val="standardContextual"/>
        </w:rPr>
        <w:t xml:space="preserve">. For example, </w:t>
      </w:r>
      <w:r w:rsidR="007C016B">
        <w:rPr>
          <w:kern w:val="2"/>
          <w14:ligatures w14:val="standardContextual"/>
        </w:rPr>
        <w:t>there are</w:t>
      </w:r>
      <w:r w:rsidR="00C91B2B">
        <w:rPr>
          <w:kern w:val="2"/>
          <w14:ligatures w14:val="standardContextual"/>
        </w:rPr>
        <w:t xml:space="preserve"> </w:t>
      </w:r>
      <w:r w:rsidR="55D8A380">
        <w:rPr>
          <w:kern w:val="2"/>
          <w14:ligatures w14:val="standardContextual"/>
        </w:rPr>
        <w:t xml:space="preserve">administrative procedures with reported compliance costs </w:t>
      </w:r>
      <w:r w:rsidR="00655743">
        <w:rPr>
          <w:kern w:val="2"/>
          <w14:ligatures w14:val="standardContextual"/>
        </w:rPr>
        <w:t xml:space="preserve">and </w:t>
      </w:r>
      <w:r w:rsidR="55D8A380">
        <w:rPr>
          <w:kern w:val="2"/>
          <w14:ligatures w14:val="standardContextual"/>
        </w:rPr>
        <w:t>zero</w:t>
      </w:r>
      <w:r w:rsidR="55D8A380" w:rsidRPr="002F03AD">
        <w:rPr>
          <w:kern w:val="2"/>
          <w14:ligatures w14:val="standardContextual"/>
        </w:rPr>
        <w:t xml:space="preserve"> transactions</w:t>
      </w:r>
      <w:r w:rsidR="55D8A380">
        <w:rPr>
          <w:kern w:val="2"/>
          <w14:ligatures w14:val="standardContextual"/>
        </w:rPr>
        <w:t xml:space="preserve"> (figure </w:t>
      </w:r>
      <w:r w:rsidR="005F417F">
        <w:rPr>
          <w:kern w:val="2"/>
          <w14:ligatures w14:val="standardContextual"/>
        </w:rPr>
        <w:t>13</w:t>
      </w:r>
      <w:r w:rsidR="55D8A380" w:rsidRPr="002F03AD">
        <w:rPr>
          <w:kern w:val="2"/>
          <w14:ligatures w14:val="standardContextual"/>
        </w:rPr>
        <w:t>)</w:t>
      </w:r>
      <w:r w:rsidR="007C016B">
        <w:rPr>
          <w:kern w:val="2"/>
          <w14:ligatures w14:val="standardContextual"/>
        </w:rPr>
        <w:t>;</w:t>
      </w:r>
      <w:r w:rsidR="00CE2233">
        <w:rPr>
          <w:rStyle w:val="FootnoteReference"/>
          <w:kern w:val="2"/>
          <w14:ligatures w14:val="standardContextual"/>
        </w:rPr>
        <w:footnoteReference w:id="50"/>
      </w:r>
      <w:r w:rsidR="55D8A380" w:rsidRPr="002F03AD">
        <w:rPr>
          <w:kern w:val="2"/>
          <w14:ligatures w14:val="standardContextual"/>
        </w:rPr>
        <w:t xml:space="preserve"> </w:t>
      </w:r>
      <w:r w:rsidR="007C016B">
        <w:rPr>
          <w:kern w:val="2"/>
          <w14:ligatures w14:val="standardContextual"/>
        </w:rPr>
        <w:t>these amount to 11 percent of administrative procedures in the database.</w:t>
      </w:r>
      <w:r w:rsidR="55D8A380" w:rsidRPr="002F03AD">
        <w:rPr>
          <w:kern w:val="2"/>
          <w14:ligatures w14:val="standardContextual"/>
        </w:rPr>
        <w:t xml:space="preserve"> </w:t>
      </w:r>
      <w:r w:rsidR="007C016B">
        <w:rPr>
          <w:kern w:val="2"/>
          <w14:ligatures w14:val="standardContextual"/>
        </w:rPr>
        <w:t>Because</w:t>
      </w:r>
      <w:r w:rsidR="55D8A380">
        <w:rPr>
          <w:kern w:val="2"/>
          <w14:ligatures w14:val="standardContextual"/>
        </w:rPr>
        <w:t xml:space="preserve"> </w:t>
      </w:r>
      <w:r w:rsidR="55D8A380" w:rsidRPr="004D3CF1">
        <w:rPr>
          <w:kern w:val="2"/>
          <w14:ligatures w14:val="standardContextual"/>
        </w:rPr>
        <w:t>the data available does not include the calculation pre- and post-simplification</w:t>
      </w:r>
      <w:r w:rsidR="007C016B">
        <w:rPr>
          <w:kern w:val="2"/>
          <w14:ligatures w14:val="standardContextual"/>
        </w:rPr>
        <w:t xml:space="preserve">, </w:t>
      </w:r>
      <w:r w:rsidR="001B6790">
        <w:rPr>
          <w:kern w:val="2"/>
          <w14:ligatures w14:val="standardContextual"/>
        </w:rPr>
        <w:t xml:space="preserve">estimating the total </w:t>
      </w:r>
      <w:r w:rsidR="007C016B">
        <w:rPr>
          <w:kern w:val="2"/>
          <w14:ligatures w14:val="standardContextual"/>
        </w:rPr>
        <w:t>compliance cost reduction is not possible</w:t>
      </w:r>
      <w:r w:rsidR="55D8A380" w:rsidRPr="004D3CF1">
        <w:rPr>
          <w:kern w:val="2"/>
          <w14:ligatures w14:val="standardContextual"/>
        </w:rPr>
        <w:t xml:space="preserve">. </w:t>
      </w:r>
      <w:r w:rsidR="00615CC7">
        <w:rPr>
          <w:kern w:val="2"/>
          <w14:ligatures w14:val="standardContextual"/>
        </w:rPr>
        <w:t>There are no other measures of the impact of the regulations simplified.</w:t>
      </w:r>
      <w:r w:rsidR="4F80BDEC" w:rsidRPr="00852B06">
        <w:rPr>
          <w:kern w:val="2"/>
          <w14:ligatures w14:val="standardContextu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24"/>
      </w:tblGrid>
      <w:tr w:rsidR="00210FBD" w14:paraId="1ED6B5EF" w14:textId="77777777" w:rsidTr="0010485E">
        <w:tc>
          <w:tcPr>
            <w:tcW w:w="4636" w:type="dxa"/>
          </w:tcPr>
          <w:p w14:paraId="578CEFEF" w14:textId="06A96C93" w:rsidR="00611BA9" w:rsidRPr="004D3CF1" w:rsidRDefault="00611BA9" w:rsidP="00611BA9">
            <w:pPr>
              <w:jc w:val="both"/>
              <w:rPr>
                <w:rFonts w:cstheme="minorHAnsi"/>
                <w:b/>
                <w:bCs/>
                <w:color w:val="4472C4" w:themeColor="accent1"/>
                <w:sz w:val="20"/>
                <w:szCs w:val="20"/>
              </w:rPr>
            </w:pPr>
            <w:r>
              <w:rPr>
                <w:rFonts w:cstheme="minorHAnsi"/>
                <w:b/>
                <w:bCs/>
                <w:color w:val="4472C4" w:themeColor="accent1"/>
                <w:sz w:val="20"/>
                <w:szCs w:val="20"/>
              </w:rPr>
              <w:t xml:space="preserve">Figure </w:t>
            </w:r>
            <w:r w:rsidR="005F417F">
              <w:rPr>
                <w:rFonts w:cstheme="minorHAnsi"/>
                <w:b/>
                <w:bCs/>
                <w:color w:val="4472C4" w:themeColor="accent1"/>
                <w:sz w:val="20"/>
                <w:szCs w:val="20"/>
              </w:rPr>
              <w:t>1</w:t>
            </w:r>
            <w:r>
              <w:rPr>
                <w:rFonts w:cstheme="minorHAnsi"/>
                <w:b/>
                <w:bCs/>
                <w:color w:val="4472C4" w:themeColor="accent1"/>
                <w:sz w:val="20"/>
                <w:szCs w:val="20"/>
              </w:rPr>
              <w:t xml:space="preserve">2. </w:t>
            </w:r>
            <w:r w:rsidRPr="004D3CF1">
              <w:rPr>
                <w:rFonts w:cstheme="minorHAnsi"/>
                <w:b/>
                <w:bCs/>
                <w:color w:val="4472C4" w:themeColor="accent1"/>
                <w:sz w:val="20"/>
                <w:szCs w:val="20"/>
              </w:rPr>
              <w:t xml:space="preserve">Percent of Administrative Procedures and Reporting Requirements with </w:t>
            </w:r>
            <w:r w:rsidR="002D1FFB">
              <w:rPr>
                <w:rFonts w:cstheme="minorHAnsi"/>
                <w:b/>
                <w:bCs/>
                <w:color w:val="4472C4" w:themeColor="accent1"/>
                <w:sz w:val="20"/>
                <w:szCs w:val="20"/>
              </w:rPr>
              <w:t>compliance cost</w:t>
            </w:r>
            <w:r w:rsidRPr="004D3CF1">
              <w:rPr>
                <w:rFonts w:cstheme="minorHAnsi"/>
                <w:b/>
                <w:bCs/>
                <w:color w:val="4472C4" w:themeColor="accent1"/>
                <w:sz w:val="20"/>
                <w:szCs w:val="20"/>
              </w:rPr>
              <w:t xml:space="preserve"> data</w:t>
            </w:r>
          </w:p>
          <w:p w14:paraId="6EC94A41" w14:textId="77777777" w:rsidR="00210FBD" w:rsidRDefault="00210FBD" w:rsidP="00852B06">
            <w:pPr>
              <w:jc w:val="both"/>
              <w:rPr>
                <w:kern w:val="2"/>
                <w14:ligatures w14:val="standardContextual"/>
              </w:rPr>
            </w:pPr>
          </w:p>
        </w:tc>
        <w:tc>
          <w:tcPr>
            <w:tcW w:w="4724" w:type="dxa"/>
          </w:tcPr>
          <w:p w14:paraId="3B3296FA" w14:textId="002BE30A" w:rsidR="00210FBD" w:rsidRDefault="0085149C" w:rsidP="00852B06">
            <w:pPr>
              <w:jc w:val="both"/>
              <w:rPr>
                <w:kern w:val="2"/>
                <w14:ligatures w14:val="standardContextual"/>
              </w:rPr>
            </w:pPr>
            <w:r w:rsidRPr="004D3CF1">
              <w:rPr>
                <w:rFonts w:cstheme="minorHAnsi"/>
                <w:b/>
                <w:bCs/>
                <w:color w:val="4472C4" w:themeColor="accent1"/>
                <w:sz w:val="20"/>
                <w:szCs w:val="20"/>
              </w:rPr>
              <w:t xml:space="preserve">Figure </w:t>
            </w:r>
            <w:r w:rsidR="005F417F">
              <w:rPr>
                <w:rFonts w:cstheme="minorHAnsi"/>
                <w:b/>
                <w:bCs/>
                <w:color w:val="4472C4" w:themeColor="accent1"/>
                <w:sz w:val="20"/>
                <w:szCs w:val="20"/>
              </w:rPr>
              <w:t>13</w:t>
            </w:r>
            <w:r w:rsidRPr="004D3CF1">
              <w:rPr>
                <w:rFonts w:cstheme="minorHAnsi"/>
                <w:b/>
                <w:bCs/>
                <w:color w:val="4472C4" w:themeColor="accent1"/>
                <w:sz w:val="20"/>
                <w:szCs w:val="20"/>
              </w:rPr>
              <w:t>. Number of Administrative Procedures with zero transactions</w:t>
            </w:r>
          </w:p>
        </w:tc>
      </w:tr>
      <w:tr w:rsidR="00210FBD" w14:paraId="42BEE9FD" w14:textId="77777777" w:rsidTr="0010485E">
        <w:tc>
          <w:tcPr>
            <w:tcW w:w="4636" w:type="dxa"/>
          </w:tcPr>
          <w:p w14:paraId="2E0E65BF" w14:textId="220F2A99" w:rsidR="00210FBD" w:rsidRDefault="00305922" w:rsidP="00852B06">
            <w:pPr>
              <w:jc w:val="both"/>
            </w:pPr>
            <w:r w:rsidRPr="00305922">
              <w:rPr>
                <w:noProof/>
                <w:kern w:val="2"/>
                <w14:ligatures w14:val="standardContextual"/>
              </w:rPr>
              <w:lastRenderedPageBreak/>
              <w:drawing>
                <wp:inline distT="0" distB="0" distL="0" distR="0" wp14:anchorId="3AE1F065" wp14:editId="1F3DB5D6">
                  <wp:extent cx="2970266" cy="2663420"/>
                  <wp:effectExtent l="0" t="0" r="1905" b="3810"/>
                  <wp:docPr id="71" name="Chart 71">
                    <a:extLst xmlns:a="http://schemas.openxmlformats.org/drawingml/2006/main">
                      <a:ext uri="{FF2B5EF4-FFF2-40B4-BE49-F238E27FC236}">
                        <a16:creationId xmlns:a16="http://schemas.microsoft.com/office/drawing/2014/main" id="{FDDD2EA4-5B3F-E9EE-3D3D-F4669AD6C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24" w:type="dxa"/>
          </w:tcPr>
          <w:p w14:paraId="796214A5" w14:textId="28A3317D" w:rsidR="00210FBD" w:rsidRDefault="009C46AA" w:rsidP="00852B06">
            <w:pPr>
              <w:jc w:val="both"/>
            </w:pPr>
            <w:r w:rsidRPr="009C46AA">
              <w:rPr>
                <w:noProof/>
                <w:kern w:val="2"/>
                <w14:ligatures w14:val="standardContextual"/>
              </w:rPr>
              <w:drawing>
                <wp:inline distT="0" distB="0" distL="0" distR="0" wp14:anchorId="17AE5B0F" wp14:editId="4A212E83">
                  <wp:extent cx="3031490" cy="2556262"/>
                  <wp:effectExtent l="0" t="0" r="0" b="0"/>
                  <wp:docPr id="70" name="Chart 70">
                    <a:extLst xmlns:a="http://schemas.openxmlformats.org/drawingml/2006/main">
                      <a:ext uri="{FF2B5EF4-FFF2-40B4-BE49-F238E27FC236}">
                        <a16:creationId xmlns:a16="http://schemas.microsoft.com/office/drawing/2014/main" id="{ED36EAD6-A5C4-E3A5-83F9-305011EF1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210FBD" w14:paraId="7450A78F" w14:textId="77777777" w:rsidTr="0010485E">
        <w:tc>
          <w:tcPr>
            <w:tcW w:w="4636" w:type="dxa"/>
          </w:tcPr>
          <w:p w14:paraId="61CF2EA1" w14:textId="77777777" w:rsidR="001F0F70" w:rsidRPr="004D3CF1" w:rsidRDefault="001F0F70" w:rsidP="001F0F70">
            <w:pPr>
              <w:jc w:val="both"/>
              <w:rPr>
                <w:rFonts w:asciiTheme="majorHAnsi" w:hAnsiTheme="majorHAnsi" w:cstheme="majorHAnsi"/>
                <w:i/>
                <w:color w:val="7F7F7F" w:themeColor="text1" w:themeTint="80"/>
                <w:kern w:val="2"/>
                <w:sz w:val="18"/>
                <w:szCs w:val="18"/>
                <w14:ligatures w14:val="standardContextual"/>
              </w:rPr>
            </w:pPr>
            <w:r w:rsidRPr="004D3CF1">
              <w:rPr>
                <w:rFonts w:asciiTheme="majorHAnsi" w:hAnsiTheme="majorHAnsi" w:cstheme="majorHAnsi"/>
                <w:i/>
                <w:color w:val="7F7F7F" w:themeColor="text1" w:themeTint="80"/>
                <w:kern w:val="2"/>
                <w:sz w:val="18"/>
                <w:szCs w:val="18"/>
                <w14:ligatures w14:val="standardContextual"/>
              </w:rPr>
              <w:t>Source: Authors based on APCA’s data.</w:t>
            </w:r>
          </w:p>
          <w:p w14:paraId="3123660E" w14:textId="77777777" w:rsidR="00210FBD" w:rsidRDefault="00210FBD" w:rsidP="00852B06">
            <w:pPr>
              <w:jc w:val="both"/>
              <w:rPr>
                <w:kern w:val="2"/>
                <w14:ligatures w14:val="standardContextual"/>
              </w:rPr>
            </w:pPr>
          </w:p>
        </w:tc>
        <w:tc>
          <w:tcPr>
            <w:tcW w:w="4724" w:type="dxa"/>
          </w:tcPr>
          <w:p w14:paraId="360EE414" w14:textId="77777777" w:rsidR="00210FBD" w:rsidRDefault="00210FBD" w:rsidP="00852B06">
            <w:pPr>
              <w:jc w:val="both"/>
              <w:rPr>
                <w:kern w:val="2"/>
                <w14:ligatures w14:val="standardContextual"/>
              </w:rPr>
            </w:pPr>
          </w:p>
        </w:tc>
      </w:tr>
    </w:tbl>
    <w:p w14:paraId="641D305C" w14:textId="04FC9FB4" w:rsidR="00CA379C" w:rsidRPr="00CA379C" w:rsidRDefault="00CA379C" w:rsidP="00CF13CA">
      <w:pPr>
        <w:pStyle w:val="Heading2"/>
        <w:spacing w:before="100" w:beforeAutospacing="1" w:after="100" w:afterAutospacing="1"/>
      </w:pPr>
      <w:bookmarkStart w:id="15" w:name="_Toc175228085"/>
      <w:r>
        <w:t>Qualitative a</w:t>
      </w:r>
      <w:r w:rsidRPr="00CA379C">
        <w:t>ssessment</w:t>
      </w:r>
      <w:r w:rsidR="00F07A6E">
        <w:t xml:space="preserve">: </w:t>
      </w:r>
      <w:r w:rsidR="00B8040B">
        <w:t xml:space="preserve">solid foundations, but </w:t>
      </w:r>
      <w:r w:rsidR="007521E8">
        <w:t xml:space="preserve">some implementation gaps and </w:t>
      </w:r>
      <w:r w:rsidR="00B8040B">
        <w:t>opportunit</w:t>
      </w:r>
      <w:r w:rsidR="007521E8">
        <w:t>ies</w:t>
      </w:r>
      <w:r w:rsidR="00B8040B">
        <w:t xml:space="preserve"> for greater prioritization</w:t>
      </w:r>
      <w:bookmarkEnd w:id="15"/>
      <w:r w:rsidR="00B8040B">
        <w:t xml:space="preserve"> </w:t>
      </w:r>
    </w:p>
    <w:p w14:paraId="4ED522D8" w14:textId="2EB1AD08" w:rsidR="00CA379C" w:rsidRPr="00CA379C" w:rsidRDefault="651E5E28" w:rsidP="00CA379C">
      <w:pPr>
        <w:jc w:val="both"/>
      </w:pPr>
      <w:r w:rsidRPr="00CA379C">
        <w:rPr>
          <w:b/>
          <w:bCs/>
          <w:kern w:val="2"/>
          <w14:ligatures w14:val="standardContextual"/>
        </w:rPr>
        <w:t xml:space="preserve">The </w:t>
      </w:r>
      <w:r w:rsidR="3F285D57" w:rsidRPr="15E5BA73">
        <w:rPr>
          <w:b/>
          <w:bCs/>
        </w:rPr>
        <w:t xml:space="preserve">section below </w:t>
      </w:r>
      <w:r w:rsidRPr="00CA379C">
        <w:rPr>
          <w:b/>
          <w:bCs/>
          <w:kern w:val="2"/>
          <w14:ligatures w14:val="standardContextual"/>
        </w:rPr>
        <w:t>provide</w:t>
      </w:r>
      <w:r w:rsidR="21686BCE" w:rsidRPr="15E5BA73">
        <w:rPr>
          <w:b/>
          <w:bCs/>
        </w:rPr>
        <w:t>s</w:t>
      </w:r>
      <w:r w:rsidRPr="00CA379C">
        <w:rPr>
          <w:b/>
          <w:bCs/>
          <w:kern w:val="2"/>
          <w14:ligatures w14:val="standardContextual"/>
        </w:rPr>
        <w:t xml:space="preserve"> a qualitative assessment of </w:t>
      </w:r>
      <w:r w:rsidR="7349725F">
        <w:rPr>
          <w:b/>
          <w:bCs/>
          <w:kern w:val="2"/>
          <w14:ligatures w14:val="standardContextual"/>
        </w:rPr>
        <w:t xml:space="preserve">the implementation of </w:t>
      </w:r>
      <w:r w:rsidRPr="00CA379C">
        <w:rPr>
          <w:b/>
          <w:bCs/>
          <w:kern w:val="2"/>
          <w14:ligatures w14:val="standardContextual"/>
        </w:rPr>
        <w:t xml:space="preserve">Resolution 68 at </w:t>
      </w:r>
      <w:r w:rsidR="6C50FE57">
        <w:rPr>
          <w:b/>
          <w:bCs/>
          <w:kern w:val="2"/>
          <w14:ligatures w14:val="standardContextual"/>
        </w:rPr>
        <w:t>t</w:t>
      </w:r>
      <w:r w:rsidR="7349725F">
        <w:rPr>
          <w:b/>
          <w:bCs/>
          <w:kern w:val="2"/>
          <w14:ligatures w14:val="standardContextual"/>
        </w:rPr>
        <w:t>he end of December 2023</w:t>
      </w:r>
      <w:r w:rsidRPr="00CA379C">
        <w:rPr>
          <w:b/>
          <w:bCs/>
          <w:kern w:val="2"/>
          <w14:ligatures w14:val="standardContextual"/>
        </w:rPr>
        <w:t xml:space="preserve">. </w:t>
      </w:r>
      <w:r w:rsidRPr="00CA379C">
        <w:rPr>
          <w:kern w:val="2"/>
          <w14:ligatures w14:val="standardContextual"/>
        </w:rPr>
        <w:t xml:space="preserve">The review focuses on the scope and relevance of the regulatory reform program laid out in Resolution 68, and on </w:t>
      </w:r>
      <w:r w:rsidR="5C3CEF65">
        <w:rPr>
          <w:kern w:val="2"/>
          <w14:ligatures w14:val="standardContextual"/>
        </w:rPr>
        <w:t>the</w:t>
      </w:r>
      <w:r w:rsidR="0029BDA2" w:rsidRPr="00CA379C">
        <w:rPr>
          <w:kern w:val="2"/>
          <w14:ligatures w14:val="standardContextual"/>
        </w:rPr>
        <w:t xml:space="preserve"> </w:t>
      </w:r>
      <w:r w:rsidRPr="00CA379C">
        <w:rPr>
          <w:kern w:val="2"/>
          <w14:ligatures w14:val="standardContextual"/>
        </w:rPr>
        <w:t>implementation in practice of its provisions</w:t>
      </w:r>
      <w:r w:rsidR="5C3CEF65">
        <w:rPr>
          <w:kern w:val="2"/>
          <w14:ligatures w14:val="standardContextual"/>
        </w:rPr>
        <w:t>,</w:t>
      </w:r>
      <w:r w:rsidRPr="00CA379C">
        <w:rPr>
          <w:kern w:val="2"/>
          <w14:ligatures w14:val="standardContextual"/>
        </w:rPr>
        <w:t xml:space="preserve"> </w:t>
      </w:r>
      <w:r w:rsidR="5B880921">
        <w:rPr>
          <w:kern w:val="2"/>
          <w14:ligatures w14:val="standardContextual"/>
        </w:rPr>
        <w:t>grouped in five areas that</w:t>
      </w:r>
      <w:r w:rsidR="066AE767">
        <w:rPr>
          <w:kern w:val="2"/>
          <w14:ligatures w14:val="standardContextual"/>
        </w:rPr>
        <w:t xml:space="preserve"> are critical to the success of</w:t>
      </w:r>
      <w:r w:rsidR="3495677E">
        <w:rPr>
          <w:kern w:val="2"/>
          <w14:ligatures w14:val="standardContextual"/>
        </w:rPr>
        <w:t xml:space="preserve"> regulatory reform initiatives</w:t>
      </w:r>
      <w:r w:rsidRPr="00CA379C">
        <w:rPr>
          <w:kern w:val="2"/>
          <w14:ligatures w14:val="standardContextual"/>
        </w:rPr>
        <w:t xml:space="preserve">: </w:t>
      </w:r>
      <w:r w:rsidRPr="15E5BA73">
        <w:rPr>
          <w:kern w:val="2"/>
          <w14:ligatures w14:val="standardContextual"/>
        </w:rPr>
        <w:t xml:space="preserve">institutional oversight and coordination, stakeholder engagement, </w:t>
      </w:r>
      <w:r w:rsidR="5616FD58" w:rsidRPr="15E5BA73">
        <w:rPr>
          <w:kern w:val="2"/>
          <w14:ligatures w14:val="standardContextual"/>
        </w:rPr>
        <w:t>technical capacity and resources</w:t>
      </w:r>
      <w:r w:rsidRPr="15E5BA73">
        <w:rPr>
          <w:kern w:val="2"/>
          <w14:ligatures w14:val="standardContextual"/>
        </w:rPr>
        <w:t>, monitoring and reporting, and the use of digital technology for regulatory delivery</w:t>
      </w:r>
      <w:r w:rsidRPr="00CA379C">
        <w:rPr>
          <w:kern w:val="2"/>
          <w14:ligatures w14:val="standardContextual"/>
        </w:rPr>
        <w:t xml:space="preserve">. </w:t>
      </w:r>
    </w:p>
    <w:p w14:paraId="75D41456" w14:textId="05C29341" w:rsidR="00CA379C" w:rsidRDefault="00CA379C" w:rsidP="00CF13CA">
      <w:pPr>
        <w:pStyle w:val="Heading3"/>
        <w:spacing w:before="100" w:beforeAutospacing="1" w:after="100" w:afterAutospacing="1"/>
      </w:pPr>
      <w:r w:rsidRPr="00CA379C">
        <w:t>Scope and relevance</w:t>
      </w:r>
    </w:p>
    <w:tbl>
      <w:tblPr>
        <w:tblStyle w:val="TableGrid"/>
        <w:tblW w:w="0" w:type="auto"/>
        <w:tblLook w:val="04A0" w:firstRow="1" w:lastRow="0" w:firstColumn="1" w:lastColumn="0" w:noHBand="0" w:noVBand="1"/>
      </w:tblPr>
      <w:tblGrid>
        <w:gridCol w:w="9350"/>
      </w:tblGrid>
      <w:tr w:rsidR="00BB2EB3" w14:paraId="31C660C8" w14:textId="77777777" w:rsidTr="00AA6635">
        <w:tc>
          <w:tcPr>
            <w:tcW w:w="9350" w:type="dxa"/>
            <w:shd w:val="clear" w:color="auto" w:fill="D9E2F3" w:themeFill="accent1" w:themeFillTint="33"/>
          </w:tcPr>
          <w:p w14:paraId="0A84B681" w14:textId="28437FD1" w:rsidR="00BB2EB3" w:rsidRPr="00AA6635" w:rsidRDefault="00545C40" w:rsidP="00BB2EB3">
            <w:r w:rsidRPr="00AA6635">
              <w:t>H</w:t>
            </w:r>
            <w:r w:rsidR="00BB2EB3" w:rsidRPr="00AA6635">
              <w:t xml:space="preserve">ighlights of the </w:t>
            </w:r>
            <w:r w:rsidRPr="00AA6635">
              <w:t xml:space="preserve">analysis </w:t>
            </w:r>
            <w:r w:rsidR="00FE3FA9" w:rsidRPr="00AA6635">
              <w:t xml:space="preserve">of </w:t>
            </w:r>
            <w:r w:rsidR="00BB2EB3" w:rsidRPr="00AA6635">
              <w:t>scope and relevance include:</w:t>
            </w:r>
          </w:p>
          <w:p w14:paraId="205A3374" w14:textId="02F8DE1A" w:rsidR="00BB2EB3" w:rsidRDefault="00BB2EB3" w:rsidP="00BB2EB3">
            <w:pPr>
              <w:pStyle w:val="ListParagraph"/>
              <w:numPr>
                <w:ilvl w:val="0"/>
                <w:numId w:val="29"/>
              </w:numPr>
            </w:pPr>
            <w:r w:rsidRPr="00186F51">
              <w:t xml:space="preserve">Resolution 68 takes a </w:t>
            </w:r>
            <w:r w:rsidR="008B4848">
              <w:t>government-wide</w:t>
            </w:r>
            <w:r w:rsidRPr="00186F51">
              <w:t xml:space="preserve"> approach</w:t>
            </w:r>
            <w:r>
              <w:t xml:space="preserve">, and all business-regulating ministries have made proposals for simplification, with different reform speed and coverage. </w:t>
            </w:r>
            <w:r w:rsidR="00CD0F97">
              <w:t>However, it lacks prioritization and does not apply a risk-based approach to reforms.</w:t>
            </w:r>
          </w:p>
          <w:p w14:paraId="65240450" w14:textId="206D48AA" w:rsidR="00BB2EB3" w:rsidRDefault="00BB2EB3" w:rsidP="00AA6635">
            <w:pPr>
              <w:pStyle w:val="ListParagraph"/>
              <w:numPr>
                <w:ilvl w:val="0"/>
                <w:numId w:val="29"/>
              </w:numPr>
            </w:pPr>
            <w:r>
              <w:t xml:space="preserve">The </w:t>
            </w:r>
            <w:r w:rsidR="00CD0F97">
              <w:t xml:space="preserve">future reforms should </w:t>
            </w:r>
            <w:r w:rsidR="00A13C11">
              <w:t>have clear</w:t>
            </w:r>
            <w:r>
              <w:t xml:space="preserve"> prioriti</w:t>
            </w:r>
            <w:r w:rsidR="00A13C11">
              <w:t>es</w:t>
            </w:r>
            <w:r>
              <w:t xml:space="preserve"> </w:t>
            </w:r>
            <w:r w:rsidR="00F65F4D">
              <w:t>and apply a</w:t>
            </w:r>
            <w:r w:rsidR="3A46F930">
              <w:t xml:space="preserve"> risk</w:t>
            </w:r>
            <w:r w:rsidR="0DD19B01">
              <w:t xml:space="preserve">-based approach </w:t>
            </w:r>
            <w:r w:rsidR="00F41E27">
              <w:t>to make reforms</w:t>
            </w:r>
            <w:r w:rsidR="0DD19B01">
              <w:t xml:space="preserve"> more </w:t>
            </w:r>
            <w:r w:rsidR="118FC79A">
              <w:t>substantial</w:t>
            </w:r>
            <w:r w:rsidR="0DD19B01">
              <w:t xml:space="preserve"> and impactful.</w:t>
            </w:r>
            <w:r w:rsidR="00F41E27">
              <w:t xml:space="preserve"> </w:t>
            </w:r>
          </w:p>
        </w:tc>
      </w:tr>
    </w:tbl>
    <w:p w14:paraId="59FF57D5" w14:textId="77777777" w:rsidR="00BB2EB3" w:rsidRPr="00BB2EB3" w:rsidRDefault="00BB2EB3" w:rsidP="00AA6635"/>
    <w:p w14:paraId="6A6F2B29" w14:textId="30767881" w:rsidR="00D22BF7" w:rsidRPr="000B4B13" w:rsidRDefault="496C36ED" w:rsidP="00D22BF7">
      <w:pPr>
        <w:jc w:val="both"/>
      </w:pPr>
      <w:r w:rsidRPr="000B4B13">
        <w:rPr>
          <w:b/>
          <w:bCs/>
        </w:rPr>
        <w:t>R</w:t>
      </w:r>
      <w:r w:rsidR="0C0B1B22" w:rsidRPr="000B4B13">
        <w:rPr>
          <w:b/>
          <w:bCs/>
        </w:rPr>
        <w:t xml:space="preserve">esolution 68 </w:t>
      </w:r>
      <w:r w:rsidR="0095480E" w:rsidRPr="000B4B13">
        <w:rPr>
          <w:b/>
          <w:bCs/>
        </w:rPr>
        <w:t>follows</w:t>
      </w:r>
      <w:r w:rsidR="0C0B1B22" w:rsidRPr="000B4B13">
        <w:rPr>
          <w:b/>
          <w:bCs/>
        </w:rPr>
        <w:t xml:space="preserve"> a </w:t>
      </w:r>
      <w:r w:rsidR="008B4848" w:rsidRPr="000B4B13">
        <w:rPr>
          <w:b/>
          <w:bCs/>
        </w:rPr>
        <w:t>government-wide</w:t>
      </w:r>
      <w:r w:rsidR="0C0B1B22" w:rsidRPr="000B4B13">
        <w:rPr>
          <w:b/>
          <w:bCs/>
        </w:rPr>
        <w:t xml:space="preserve"> approach</w:t>
      </w:r>
      <w:r w:rsidR="001C2A87" w:rsidRPr="000B4B13">
        <w:rPr>
          <w:b/>
          <w:bCs/>
        </w:rPr>
        <w:t xml:space="preserve"> in which </w:t>
      </w:r>
      <w:r w:rsidR="009E38D4" w:rsidRPr="000B4B13">
        <w:rPr>
          <w:b/>
          <w:bCs/>
        </w:rPr>
        <w:t xml:space="preserve">ministries present </w:t>
      </w:r>
      <w:r w:rsidR="6F002405" w:rsidRPr="000B4B13">
        <w:rPr>
          <w:b/>
          <w:bCs/>
        </w:rPr>
        <w:t>proposals fo</w:t>
      </w:r>
      <w:r w:rsidR="2042718B" w:rsidRPr="000B4B13">
        <w:rPr>
          <w:b/>
          <w:bCs/>
        </w:rPr>
        <w:t>r simplification</w:t>
      </w:r>
      <w:r w:rsidR="001C2A87" w:rsidRPr="000B4B13">
        <w:rPr>
          <w:b/>
          <w:bCs/>
        </w:rPr>
        <w:t xml:space="preserve">, but </w:t>
      </w:r>
      <w:r w:rsidR="00EE507D" w:rsidRPr="000B4B13">
        <w:rPr>
          <w:b/>
          <w:bCs/>
        </w:rPr>
        <w:t>this creates</w:t>
      </w:r>
      <w:r w:rsidR="001C2A87" w:rsidRPr="000B4B13">
        <w:rPr>
          <w:b/>
          <w:bCs/>
        </w:rPr>
        <w:t xml:space="preserve"> challenges</w:t>
      </w:r>
      <w:r w:rsidR="00EE507D" w:rsidRPr="000B4B13">
        <w:rPr>
          <w:b/>
          <w:bCs/>
        </w:rPr>
        <w:t xml:space="preserve"> in practice</w:t>
      </w:r>
      <w:r w:rsidR="0C0B1B22" w:rsidRPr="000B4B13">
        <w:rPr>
          <w:b/>
          <w:bCs/>
        </w:rPr>
        <w:t>.</w:t>
      </w:r>
      <w:r w:rsidR="0C0B1B22" w:rsidRPr="000B4B13">
        <w:t xml:space="preserve"> </w:t>
      </w:r>
      <w:r w:rsidR="009E38D4" w:rsidRPr="000B4B13">
        <w:t xml:space="preserve">A </w:t>
      </w:r>
      <w:r w:rsidR="004735AC" w:rsidRPr="000B4B13">
        <w:t>comprehen</w:t>
      </w:r>
      <w:r w:rsidR="00E06473" w:rsidRPr="000B4B13">
        <w:t>sive</w:t>
      </w:r>
      <w:r w:rsidR="009E38D4" w:rsidRPr="000B4B13">
        <w:t xml:space="preserve"> approach </w:t>
      </w:r>
      <w:r w:rsidR="0C0B1B22" w:rsidRPr="000B4B13">
        <w:t xml:space="preserve">in ex-post reviews of regulation </w:t>
      </w:r>
      <w:r w:rsidR="00E06473" w:rsidRPr="000B4B13">
        <w:t>can</w:t>
      </w:r>
      <w:r w:rsidR="005B31A2" w:rsidRPr="000B4B13">
        <w:t xml:space="preserve"> </w:t>
      </w:r>
      <w:r w:rsidR="005D6114" w:rsidRPr="000B4B13">
        <w:t xml:space="preserve">contribute to </w:t>
      </w:r>
      <w:r w:rsidR="0C0B1B22" w:rsidRPr="000B4B13">
        <w:t>reduce administrative burden across sectors and mainstream better regulatory practices in the government.</w:t>
      </w:r>
      <w:r w:rsidR="00D22BF7" w:rsidRPr="000B4B13">
        <w:rPr>
          <w:rStyle w:val="FootnoteReference"/>
        </w:rPr>
        <w:footnoteReference w:id="51"/>
      </w:r>
      <w:r w:rsidR="0C0B1B22" w:rsidRPr="000B4B13">
        <w:t xml:space="preserve"> </w:t>
      </w:r>
      <w:r w:rsidR="00DA3559" w:rsidRPr="000B4B13">
        <w:t>In Viet Nam, t</w:t>
      </w:r>
      <w:r w:rsidR="1F904180" w:rsidRPr="000B4B13">
        <w:t>he identification of priorities</w:t>
      </w:r>
      <w:r w:rsidR="0C0B1B22" w:rsidRPr="000B4B13">
        <w:t xml:space="preserve"> follows </w:t>
      </w:r>
      <w:r w:rsidR="0056648B">
        <w:t xml:space="preserve">primarily </w:t>
      </w:r>
      <w:r w:rsidR="0C0B1B22" w:rsidRPr="000B4B13">
        <w:t xml:space="preserve">a </w:t>
      </w:r>
      <w:r w:rsidR="2D0966E3" w:rsidRPr="000B4B13">
        <w:t>‘</w:t>
      </w:r>
      <w:r w:rsidR="0C0B1B22" w:rsidRPr="000B4B13">
        <w:t>bottom up</w:t>
      </w:r>
      <w:r w:rsidR="2D0966E3" w:rsidRPr="000B4B13">
        <w:t xml:space="preserve">’ </w:t>
      </w:r>
      <w:r w:rsidR="0C0B1B22" w:rsidRPr="000B4B13">
        <w:t xml:space="preserve">approach in which </w:t>
      </w:r>
      <w:r w:rsidR="420C99CF" w:rsidRPr="000B4B13">
        <w:t>m</w:t>
      </w:r>
      <w:r w:rsidR="1BE2A423" w:rsidRPr="000B4B13">
        <w:t>inistries</w:t>
      </w:r>
      <w:r w:rsidR="0C0B1B22" w:rsidRPr="000B4B13">
        <w:t xml:space="preserve"> propose business regulations for streamlining (based on their </w:t>
      </w:r>
      <w:r w:rsidR="0C0B1B22" w:rsidRPr="000B4B13">
        <w:lastRenderedPageBreak/>
        <w:t>own review</w:t>
      </w:r>
      <w:r w:rsidR="2905B05B" w:rsidRPr="000B4B13">
        <w:t>)</w:t>
      </w:r>
      <w:r w:rsidR="0053580B">
        <w:t xml:space="preserve"> in combination with Prime Minister’s directions</w:t>
      </w:r>
      <w:r w:rsidR="450DA529" w:rsidRPr="000B4B13">
        <w:t>.</w:t>
      </w:r>
      <w:r w:rsidR="0053580B" w:rsidRPr="0053580B">
        <w:rPr>
          <w:rStyle w:val="FootnoteReference"/>
        </w:rPr>
        <w:t xml:space="preserve"> </w:t>
      </w:r>
      <w:r w:rsidR="0053580B">
        <w:rPr>
          <w:rStyle w:val="FootnoteReference"/>
        </w:rPr>
        <w:footnoteReference w:id="52"/>
      </w:r>
      <w:r w:rsidR="450DA529" w:rsidRPr="000B4B13">
        <w:t xml:space="preserve"> These reform plans </w:t>
      </w:r>
      <w:r w:rsidR="0C0B1B22" w:rsidRPr="000B4B13">
        <w:t>are then assessed by APCA</w:t>
      </w:r>
      <w:r w:rsidR="09D1BA6D" w:rsidRPr="000B4B13">
        <w:t>/OOG</w:t>
      </w:r>
      <w:r w:rsidR="0C0B1B22" w:rsidRPr="000B4B13">
        <w:t xml:space="preserve">, with </w:t>
      </w:r>
      <w:r w:rsidR="777A6529" w:rsidRPr="000B4B13">
        <w:t>input</w:t>
      </w:r>
      <w:r w:rsidR="0C0B1B22" w:rsidRPr="000B4B13">
        <w:t xml:space="preserve"> from the </w:t>
      </w:r>
      <w:r w:rsidR="09D1BA6D" w:rsidRPr="000B4B13">
        <w:t>AC</w:t>
      </w:r>
      <w:r w:rsidR="1BE2A423" w:rsidRPr="000B4B13">
        <w:t>APR</w:t>
      </w:r>
      <w:r w:rsidR="0C0B1B22" w:rsidRPr="000B4B13">
        <w:t xml:space="preserve">, which makes a recommendation to the Prime Minister, who decides on the final set of regulations to be reduced or simplified. Having the </w:t>
      </w:r>
      <w:r w:rsidR="420C99CF" w:rsidRPr="000B4B13">
        <w:t>m</w:t>
      </w:r>
      <w:r w:rsidR="2D0966E3" w:rsidRPr="000B4B13">
        <w:t>inistries</w:t>
      </w:r>
      <w:r w:rsidR="0C0B1B22" w:rsidRPr="000B4B13">
        <w:t xml:space="preserve"> propose the regulations </w:t>
      </w:r>
      <w:r w:rsidR="00816451" w:rsidRPr="00D64CD6">
        <w:t>was</w:t>
      </w:r>
      <w:r w:rsidR="00816451" w:rsidRPr="000B4B13">
        <w:t xml:space="preserve"> </w:t>
      </w:r>
      <w:r w:rsidR="0C0B1B22" w:rsidRPr="000B4B13">
        <w:t xml:space="preserve">expected to increase their buy-in and the likelihood of implementation. However, </w:t>
      </w:r>
      <w:r w:rsidR="00842AB3" w:rsidRPr="00D64CD6">
        <w:t>challenges</w:t>
      </w:r>
      <w:r w:rsidR="00041822" w:rsidRPr="00D64CD6">
        <w:t xml:space="preserve"> include</w:t>
      </w:r>
      <w:r w:rsidR="00F53119" w:rsidRPr="00D64CD6">
        <w:t xml:space="preserve"> i) </w:t>
      </w:r>
      <w:r w:rsidR="00041822" w:rsidRPr="00D64CD6">
        <w:t xml:space="preserve">reform </w:t>
      </w:r>
      <w:r w:rsidR="00816451" w:rsidRPr="00D64CD6">
        <w:t xml:space="preserve">proposals </w:t>
      </w:r>
      <w:r w:rsidR="00F53119" w:rsidRPr="00D64CD6">
        <w:t xml:space="preserve">not </w:t>
      </w:r>
      <w:r w:rsidR="0C0B1B22" w:rsidRPr="000B4B13">
        <w:t xml:space="preserve">substantive </w:t>
      </w:r>
      <w:r w:rsidR="00116ACE" w:rsidRPr="00D64CD6">
        <w:t xml:space="preserve">enough to </w:t>
      </w:r>
      <w:r w:rsidR="0C0B1B22" w:rsidRPr="000B4B13">
        <w:t xml:space="preserve">address </w:t>
      </w:r>
      <w:r w:rsidR="00F728B8" w:rsidRPr="00D64CD6">
        <w:t>key</w:t>
      </w:r>
      <w:r w:rsidR="0C0B1B22" w:rsidRPr="000B4B13">
        <w:t xml:space="preserve"> constraints to businesses; and ii) </w:t>
      </w:r>
      <w:r w:rsidR="00116ACE" w:rsidRPr="00D64CD6">
        <w:t xml:space="preserve">difficulty </w:t>
      </w:r>
      <w:r w:rsidR="0C0B1B22" w:rsidRPr="000B4B13">
        <w:t xml:space="preserve">achieving an even participation across government entities </w:t>
      </w:r>
      <w:r w:rsidR="00116ACE" w:rsidRPr="008331C4">
        <w:t xml:space="preserve">in practice, </w:t>
      </w:r>
      <w:r w:rsidR="00116ACE" w:rsidRPr="00D64CD6">
        <w:t>due to</w:t>
      </w:r>
      <w:r w:rsidR="0C0B1B22" w:rsidRPr="000B4B13">
        <w:t xml:space="preserve"> limited ownership or capacity issues.  </w:t>
      </w:r>
    </w:p>
    <w:p w14:paraId="0EAF03E1" w14:textId="7507013F" w:rsidR="0071381F" w:rsidRPr="00D64CD6" w:rsidRDefault="00FD59D9" w:rsidP="00D22BF7">
      <w:pPr>
        <w:jc w:val="both"/>
      </w:pPr>
      <w:r w:rsidRPr="00D64CD6">
        <w:rPr>
          <w:b/>
          <w:bCs/>
        </w:rPr>
        <w:t xml:space="preserve">The absence of </w:t>
      </w:r>
      <w:r w:rsidR="00C73B24" w:rsidRPr="00D64CD6">
        <w:rPr>
          <w:b/>
          <w:bCs/>
        </w:rPr>
        <w:t xml:space="preserve">clear </w:t>
      </w:r>
      <w:r w:rsidRPr="00D64CD6">
        <w:rPr>
          <w:b/>
          <w:bCs/>
        </w:rPr>
        <w:t xml:space="preserve">prioritization </w:t>
      </w:r>
      <w:r w:rsidR="00C73B24" w:rsidRPr="00D64CD6">
        <w:rPr>
          <w:b/>
          <w:bCs/>
        </w:rPr>
        <w:t xml:space="preserve">criteria </w:t>
      </w:r>
      <w:r w:rsidRPr="00D64CD6">
        <w:rPr>
          <w:b/>
          <w:bCs/>
        </w:rPr>
        <w:t xml:space="preserve">to </w:t>
      </w:r>
      <w:r w:rsidR="00C73B24" w:rsidRPr="00D64CD6">
        <w:rPr>
          <w:b/>
          <w:bCs/>
        </w:rPr>
        <w:t xml:space="preserve">select regulations for reform in </w:t>
      </w:r>
      <w:r w:rsidR="0C0B1B22" w:rsidRPr="000B4B13">
        <w:rPr>
          <w:b/>
          <w:bCs/>
        </w:rPr>
        <w:t xml:space="preserve">Resolution 68 </w:t>
      </w:r>
      <w:r w:rsidR="00C73B24" w:rsidRPr="00D64CD6">
        <w:rPr>
          <w:b/>
          <w:bCs/>
        </w:rPr>
        <w:t>may lead to scattered impact</w:t>
      </w:r>
      <w:r w:rsidR="0C0B1B22" w:rsidRPr="000B4B13">
        <w:rPr>
          <w:rStyle w:val="BodyTextChar1"/>
          <w:rFonts w:asciiTheme="minorHAnsi" w:hAnsiTheme="minorHAnsi" w:cstheme="minorBidi"/>
          <w:b/>
          <w:bCs/>
          <w:color w:val="000000"/>
          <w:sz w:val="22"/>
          <w:szCs w:val="22"/>
          <w:lang w:eastAsia="vi-VN"/>
        </w:rPr>
        <w:t>.</w:t>
      </w:r>
      <w:r w:rsidR="51DA5AB5" w:rsidRPr="000B4B13">
        <w:rPr>
          <w:rStyle w:val="BodyTextChar1"/>
          <w:rFonts w:asciiTheme="minorHAnsi" w:hAnsiTheme="minorHAnsi" w:cstheme="minorBidi"/>
          <w:b/>
          <w:bCs/>
          <w:color w:val="000000"/>
          <w:sz w:val="22"/>
          <w:szCs w:val="22"/>
          <w:lang w:eastAsia="vi-VN"/>
        </w:rPr>
        <w:t xml:space="preserve"> </w:t>
      </w:r>
      <w:r w:rsidR="00E06D04" w:rsidRPr="008331C4">
        <w:t xml:space="preserve">The criteria for identifying what regulations are unnecessary, unreasonable, and illegal are not specified, leaving room for interpretation by government agencies. </w:t>
      </w:r>
      <w:r w:rsidR="009600AF" w:rsidRPr="00D64CD6">
        <w:t>No sector of area</w:t>
      </w:r>
      <w:r w:rsidR="000E3B89" w:rsidRPr="00D64CD6">
        <w:t xml:space="preserve"> of regulation are prioritized;</w:t>
      </w:r>
      <w:r w:rsidR="009600AF" w:rsidRPr="00D64CD6">
        <w:t xml:space="preserve"> </w:t>
      </w:r>
      <w:r w:rsidR="000E3B89" w:rsidRPr="00D64CD6">
        <w:rPr>
          <w:rStyle w:val="BodyTextChar1"/>
          <w:rFonts w:asciiTheme="minorHAnsi" w:hAnsiTheme="minorHAnsi" w:cstheme="minorBidi"/>
          <w:color w:val="000000"/>
          <w:sz w:val="22"/>
          <w:szCs w:val="22"/>
          <w:lang w:eastAsia="vi-VN"/>
        </w:rPr>
        <w:t>t</w:t>
      </w:r>
      <w:r w:rsidR="51DA5AB5" w:rsidRPr="000B4B13">
        <w:rPr>
          <w:rStyle w:val="BodyTextChar1"/>
          <w:rFonts w:asciiTheme="minorHAnsi" w:hAnsiTheme="minorHAnsi" w:cstheme="minorBidi"/>
          <w:color w:val="000000"/>
          <w:sz w:val="22"/>
          <w:szCs w:val="22"/>
          <w:lang w:eastAsia="vi-VN"/>
        </w:rPr>
        <w:t>he only exception</w:t>
      </w:r>
      <w:r w:rsidR="0D590421" w:rsidRPr="000B4B13">
        <w:rPr>
          <w:rStyle w:val="BodyTextChar1"/>
          <w:rFonts w:asciiTheme="minorHAnsi" w:hAnsiTheme="minorHAnsi" w:cstheme="minorBidi"/>
          <w:color w:val="000000"/>
          <w:sz w:val="22"/>
          <w:szCs w:val="22"/>
          <w:lang w:eastAsia="vi-VN"/>
        </w:rPr>
        <w:t xml:space="preserve"> </w:t>
      </w:r>
      <w:r w:rsidR="000E3B89" w:rsidRPr="00D64CD6">
        <w:rPr>
          <w:rStyle w:val="BodyTextChar1"/>
          <w:rFonts w:asciiTheme="minorHAnsi" w:hAnsiTheme="minorHAnsi" w:cstheme="minorBidi"/>
          <w:color w:val="000000"/>
          <w:sz w:val="22"/>
          <w:szCs w:val="22"/>
          <w:lang w:eastAsia="vi-VN"/>
        </w:rPr>
        <w:t>being</w:t>
      </w:r>
      <w:r w:rsidR="0D590421" w:rsidRPr="000B4B13">
        <w:rPr>
          <w:rStyle w:val="BodyTextChar1"/>
          <w:rFonts w:asciiTheme="minorHAnsi" w:hAnsiTheme="minorHAnsi" w:cstheme="minorBidi"/>
          <w:color w:val="000000"/>
          <w:sz w:val="22"/>
          <w:szCs w:val="22"/>
          <w:lang w:eastAsia="vi-VN"/>
        </w:rPr>
        <w:t xml:space="preserve"> technical requirements for import and export in the first year</w:t>
      </w:r>
      <w:r w:rsidR="283BAEEE" w:rsidRPr="000B4B13">
        <w:rPr>
          <w:rStyle w:val="BodyTextChar1"/>
          <w:rFonts w:asciiTheme="minorHAnsi" w:hAnsiTheme="minorHAnsi" w:cstheme="minorBidi"/>
          <w:color w:val="000000"/>
          <w:sz w:val="22"/>
          <w:szCs w:val="22"/>
          <w:lang w:eastAsia="vi-VN"/>
        </w:rPr>
        <w:t xml:space="preserve"> of implementation</w:t>
      </w:r>
      <w:r w:rsidR="0D590421" w:rsidRPr="000B4B13">
        <w:rPr>
          <w:rStyle w:val="BodyTextChar1"/>
          <w:rFonts w:asciiTheme="minorHAnsi" w:hAnsiTheme="minorHAnsi" w:cstheme="minorBidi"/>
          <w:color w:val="000000"/>
          <w:sz w:val="22"/>
          <w:szCs w:val="22"/>
          <w:lang w:eastAsia="vi-VN"/>
        </w:rPr>
        <w:t>.</w:t>
      </w:r>
      <w:r w:rsidR="00D22BF7" w:rsidRPr="000B4B13">
        <w:rPr>
          <w:rStyle w:val="FootnoteReference"/>
          <w:color w:val="000000"/>
          <w:shd w:val="clear" w:color="auto" w:fill="FFFFFF"/>
          <w:lang w:eastAsia="vi-VN"/>
        </w:rPr>
        <w:footnoteReference w:id="53"/>
      </w:r>
      <w:r w:rsidR="0C0B1B22" w:rsidRPr="000B4B13">
        <w:rPr>
          <w:b/>
          <w:bCs/>
        </w:rPr>
        <w:t xml:space="preserve"> </w:t>
      </w:r>
      <w:r w:rsidR="0C0B1B22" w:rsidRPr="000B4B13">
        <w:t xml:space="preserve">In practice, the areas of regulation simplified are </w:t>
      </w:r>
      <w:r w:rsidR="00910179" w:rsidRPr="00D64CD6">
        <w:t>heterogeneous</w:t>
      </w:r>
      <w:r w:rsidR="2F9CFC53" w:rsidRPr="000B4B13">
        <w:t xml:space="preserve">, </w:t>
      </w:r>
      <w:r w:rsidR="4B969309" w:rsidRPr="000B4B13">
        <w:t xml:space="preserve">reflecting the range of </w:t>
      </w:r>
      <w:r w:rsidR="00910179" w:rsidRPr="00D64CD6">
        <w:t>mandates of the m</w:t>
      </w:r>
      <w:r w:rsidR="4B969309" w:rsidRPr="000B4B13">
        <w:t>inistries involved</w:t>
      </w:r>
      <w:r w:rsidR="00F4026E" w:rsidRPr="000B4B13">
        <w:t>, which can potentially lead to scattered impact</w:t>
      </w:r>
      <w:r w:rsidR="003B0694">
        <w:t xml:space="preserve"> if the changes do not tackle key constraints for business activity</w:t>
      </w:r>
      <w:r w:rsidR="0C0B1B22" w:rsidRPr="000B4B13">
        <w:t>.</w:t>
      </w:r>
    </w:p>
    <w:p w14:paraId="599FD90A" w14:textId="08CA74BA" w:rsidR="00B545F3" w:rsidRPr="00D64CD6" w:rsidRDefault="000E4E34" w:rsidP="00D22BF7">
      <w:pPr>
        <w:jc w:val="both"/>
        <w:rPr>
          <w:highlight w:val="yellow"/>
        </w:rPr>
      </w:pPr>
      <w:r w:rsidRPr="00D64CD6">
        <w:rPr>
          <w:b/>
          <w:bCs/>
        </w:rPr>
        <w:t xml:space="preserve">Setting </w:t>
      </w:r>
      <w:r w:rsidR="000B4B13">
        <w:rPr>
          <w:b/>
          <w:bCs/>
        </w:rPr>
        <w:t xml:space="preserve">clear </w:t>
      </w:r>
      <w:r w:rsidRPr="00D64CD6">
        <w:rPr>
          <w:b/>
          <w:bCs/>
        </w:rPr>
        <w:t>reform</w:t>
      </w:r>
      <w:r w:rsidR="0C0B1B22" w:rsidRPr="00D64CD6">
        <w:rPr>
          <w:b/>
          <w:bCs/>
        </w:rPr>
        <w:t xml:space="preserve"> </w:t>
      </w:r>
      <w:r w:rsidRPr="00D64CD6">
        <w:rPr>
          <w:b/>
          <w:bCs/>
        </w:rPr>
        <w:t xml:space="preserve">priorities </w:t>
      </w:r>
      <w:r w:rsidR="0C0B1B22" w:rsidRPr="00D64CD6">
        <w:rPr>
          <w:b/>
          <w:bCs/>
        </w:rPr>
        <w:t xml:space="preserve">could help direct government reform efforts to areas of regulation that </w:t>
      </w:r>
      <w:r w:rsidR="000B4B13" w:rsidRPr="00D64CD6">
        <w:rPr>
          <w:b/>
          <w:bCs/>
        </w:rPr>
        <w:t>are critical</w:t>
      </w:r>
      <w:r w:rsidR="0C0B1B22" w:rsidRPr="00D64CD6">
        <w:rPr>
          <w:b/>
          <w:bCs/>
        </w:rPr>
        <w:t xml:space="preserve"> to </w:t>
      </w:r>
      <w:r w:rsidR="000B4B13" w:rsidRPr="00D64CD6">
        <w:rPr>
          <w:b/>
          <w:bCs/>
        </w:rPr>
        <w:t>increase investment and productivity growth</w:t>
      </w:r>
      <w:r w:rsidR="0C0B1B22" w:rsidRPr="00D64CD6">
        <w:rPr>
          <w:b/>
          <w:bCs/>
        </w:rPr>
        <w:t xml:space="preserve">. </w:t>
      </w:r>
      <w:r w:rsidR="00B45C47" w:rsidRPr="00D64CD6">
        <w:t xml:space="preserve">The </w:t>
      </w:r>
      <w:r w:rsidR="001658C3" w:rsidRPr="00D64CD6">
        <w:t xml:space="preserve">productivity </w:t>
      </w:r>
      <w:r w:rsidR="00B45C47" w:rsidRPr="00D64CD6">
        <w:t xml:space="preserve">analysis in section III identified </w:t>
      </w:r>
      <w:r w:rsidR="000E6C48" w:rsidRPr="00D64CD6">
        <w:t>opportunities for</w:t>
      </w:r>
      <w:r w:rsidR="001658C3" w:rsidRPr="00D64CD6">
        <w:t xml:space="preserve"> </w:t>
      </w:r>
      <w:r w:rsidR="000E6C48" w:rsidRPr="00D64CD6">
        <w:t xml:space="preserve">reallocation to more productive sectors and firms, and </w:t>
      </w:r>
      <w:r w:rsidR="001658C3" w:rsidRPr="00D64CD6">
        <w:t xml:space="preserve">to increase entry of innovative firms. </w:t>
      </w:r>
      <w:r w:rsidR="00C74513" w:rsidRPr="00D64CD6">
        <w:t xml:space="preserve">Identifying the regulations </w:t>
      </w:r>
      <w:r w:rsidR="00D63C8D" w:rsidRPr="00D64CD6">
        <w:t xml:space="preserve">constraining these </w:t>
      </w:r>
      <w:r w:rsidR="00DF03AF" w:rsidRPr="00D64CD6">
        <w:t xml:space="preserve">investments would require more granular information on </w:t>
      </w:r>
      <w:r w:rsidR="007E0DA1" w:rsidRPr="00D64CD6">
        <w:t>regulations by sector (</w:t>
      </w:r>
      <w:r w:rsidR="00A415D2" w:rsidRPr="00D64CD6">
        <w:t>classified by industry code—</w:t>
      </w:r>
      <w:r w:rsidR="007E0DA1" w:rsidRPr="00D64CD6">
        <w:t xml:space="preserve">see discussion below on investment conditions). </w:t>
      </w:r>
      <w:r w:rsidR="00490D63" w:rsidRPr="00D64CD6">
        <w:t xml:space="preserve">In the absence of </w:t>
      </w:r>
      <w:r w:rsidR="00A415D2" w:rsidRPr="00D64CD6">
        <w:t xml:space="preserve">that database, </w:t>
      </w:r>
      <w:r w:rsidR="00265F3D">
        <w:t>a pragmatic approach suggest</w:t>
      </w:r>
      <w:r w:rsidR="005900E2">
        <w:t>s</w:t>
      </w:r>
      <w:r w:rsidR="00265F3D">
        <w:t xml:space="preserve"> setting </w:t>
      </w:r>
      <w:r w:rsidR="00385C0E" w:rsidRPr="00D64CD6">
        <w:t xml:space="preserve">priorities </w:t>
      </w:r>
      <w:r w:rsidR="00265F3D">
        <w:t xml:space="preserve">based on </w:t>
      </w:r>
      <w:r w:rsidR="003B7E53">
        <w:t xml:space="preserve">sectors </w:t>
      </w:r>
      <w:r w:rsidR="003B7E53" w:rsidRPr="00D64CD6">
        <w:t>more strategic for Viet Nam’s growth strategy and productivity growth such as information technology or renewable energy</w:t>
      </w:r>
      <w:r w:rsidR="003B7E53" w:rsidRPr="003B7E53">
        <w:t>, and where the regulatory burden is high.</w:t>
      </w:r>
      <w:r w:rsidR="00265F3D" w:rsidRPr="003B7E53">
        <w:t xml:space="preserve"> </w:t>
      </w:r>
      <w:r w:rsidR="003B7E53" w:rsidRPr="00D64CD6">
        <w:t xml:space="preserve">Setting priorities would not mean abandoning the objective of mainstreaming continuous regulatory improvement across the government.  </w:t>
      </w:r>
    </w:p>
    <w:p w14:paraId="7E436A83" w14:textId="592DAB54" w:rsidR="00D22BF7" w:rsidRDefault="00305012" w:rsidP="00D22BF7">
      <w:pPr>
        <w:jc w:val="both"/>
      </w:pPr>
      <w:r w:rsidRPr="00D64CD6">
        <w:rPr>
          <w:b/>
          <w:bCs/>
        </w:rPr>
        <w:t xml:space="preserve">The implementation of Resolution 68 has relied on </w:t>
      </w:r>
      <w:r w:rsidR="00ED5DA6" w:rsidRPr="00ED5DA6">
        <w:rPr>
          <w:b/>
          <w:bCs/>
        </w:rPr>
        <w:t>i</w:t>
      </w:r>
      <w:r w:rsidR="1B5F233C" w:rsidRPr="00ED5DA6">
        <w:rPr>
          <w:b/>
          <w:bCs/>
        </w:rPr>
        <w:t>nformation technology</w:t>
      </w:r>
      <w:r w:rsidR="00ED5DA6" w:rsidRPr="00ED5DA6">
        <w:rPr>
          <w:b/>
          <w:bCs/>
        </w:rPr>
        <w:t xml:space="preserve">, </w:t>
      </w:r>
      <w:r w:rsidR="31083A0E" w:rsidRPr="00ED5DA6">
        <w:rPr>
          <w:b/>
          <w:bCs/>
        </w:rPr>
        <w:t xml:space="preserve">with </w:t>
      </w:r>
      <w:r w:rsidR="33E916C7" w:rsidRPr="00ED5DA6">
        <w:rPr>
          <w:b/>
          <w:bCs/>
        </w:rPr>
        <w:t xml:space="preserve">initial </w:t>
      </w:r>
      <w:r w:rsidR="46EDB865" w:rsidRPr="00ED5DA6">
        <w:rPr>
          <w:b/>
          <w:bCs/>
        </w:rPr>
        <w:t>important</w:t>
      </w:r>
      <w:r w:rsidR="33E916C7" w:rsidRPr="00ED5DA6">
        <w:rPr>
          <w:b/>
          <w:bCs/>
        </w:rPr>
        <w:t xml:space="preserve"> outputs such as</w:t>
      </w:r>
      <w:r w:rsidR="46EDB865" w:rsidRPr="00ED5DA6">
        <w:rPr>
          <w:b/>
          <w:bCs/>
        </w:rPr>
        <w:t xml:space="preserve"> </w:t>
      </w:r>
      <w:r w:rsidR="31083A0E" w:rsidRPr="00ED5DA6">
        <w:rPr>
          <w:b/>
          <w:bCs/>
        </w:rPr>
        <w:t xml:space="preserve">the development of a database of </w:t>
      </w:r>
      <w:r w:rsidR="6689E2A7" w:rsidRPr="00ED5DA6">
        <w:rPr>
          <w:b/>
          <w:bCs/>
        </w:rPr>
        <w:t>business</w:t>
      </w:r>
      <w:r w:rsidR="31083A0E" w:rsidRPr="00ED5DA6">
        <w:rPr>
          <w:b/>
          <w:bCs/>
        </w:rPr>
        <w:t xml:space="preserve"> regulations</w:t>
      </w:r>
      <w:r w:rsidR="409FA48A" w:rsidRPr="00ED5DA6">
        <w:rPr>
          <w:b/>
          <w:bCs/>
        </w:rPr>
        <w:t xml:space="preserve"> and online reporting and monitoring tools</w:t>
      </w:r>
      <w:r w:rsidR="00ED5DA6" w:rsidRPr="00ED5DA6">
        <w:rPr>
          <w:b/>
          <w:bCs/>
        </w:rPr>
        <w:t>, but gaps remain</w:t>
      </w:r>
      <w:r w:rsidR="13D84FBF" w:rsidRPr="00ED5DA6">
        <w:t>.</w:t>
      </w:r>
      <w:r w:rsidR="13D84FBF">
        <w:t xml:space="preserve"> </w:t>
      </w:r>
      <w:r w:rsidR="3902D8CD">
        <w:t>However</w:t>
      </w:r>
      <w:r w:rsidR="0C0B1B22">
        <w:t>, increasing the use of digital technologies</w:t>
      </w:r>
      <w:r w:rsidR="4B721F8C">
        <w:t xml:space="preserve"> for regulatory delivery</w:t>
      </w:r>
      <w:r w:rsidR="0C0B1B22">
        <w:t xml:space="preserve"> </w:t>
      </w:r>
      <w:r w:rsidR="54B480D8">
        <w:t>could be emphasized t</w:t>
      </w:r>
      <w:r w:rsidR="0C0B1B22">
        <w:t xml:space="preserve">o improve </w:t>
      </w:r>
      <w:r w:rsidR="50D3E570">
        <w:t>transparency,</w:t>
      </w:r>
      <w:r w:rsidR="0C0B1B22">
        <w:t xml:space="preserve"> and reduce the discretion in the application of regulations (see section II</w:t>
      </w:r>
      <w:r w:rsidR="5B6F25A5">
        <w:t>I</w:t>
      </w:r>
      <w:r w:rsidR="0C0B1B22">
        <w:t xml:space="preserve">). </w:t>
      </w:r>
      <w:r w:rsidR="6E363CA9">
        <w:t>In addition, a data-driven approach c</w:t>
      </w:r>
      <w:r w:rsidR="5E3F212F">
        <w:t xml:space="preserve">ould have been adopted for simplifying and integrating administrative procedures to reduce compliance costs and improve service quality. </w:t>
      </w:r>
    </w:p>
    <w:p w14:paraId="7565F817" w14:textId="70AE422F" w:rsidR="00024E7A" w:rsidRDefault="40062E69" w:rsidP="00D52837">
      <w:pPr>
        <w:jc w:val="both"/>
      </w:pPr>
      <w:r>
        <w:rPr>
          <w:b/>
          <w:bCs/>
        </w:rPr>
        <w:t>The assessment</w:t>
      </w:r>
      <w:r w:rsidR="2D58FF95">
        <w:rPr>
          <w:b/>
          <w:bCs/>
        </w:rPr>
        <w:t xml:space="preserve"> of licensing regulations</w:t>
      </w:r>
      <w:r w:rsidR="007D0281">
        <w:rPr>
          <w:rStyle w:val="FootnoteReference"/>
          <w:b/>
          <w:bCs/>
        </w:rPr>
        <w:footnoteReference w:id="54"/>
      </w:r>
      <w:r>
        <w:rPr>
          <w:b/>
          <w:bCs/>
        </w:rPr>
        <w:t xml:space="preserve"> identified a high number of licenses and ex-ante approvals, </w:t>
      </w:r>
      <w:r w:rsidR="289BB26D">
        <w:rPr>
          <w:b/>
          <w:bCs/>
        </w:rPr>
        <w:t xml:space="preserve">which </w:t>
      </w:r>
      <w:r w:rsidR="4EB4894F">
        <w:rPr>
          <w:b/>
          <w:bCs/>
        </w:rPr>
        <w:t xml:space="preserve">reflect the </w:t>
      </w:r>
      <w:r w:rsidR="00BA2225">
        <w:rPr>
          <w:b/>
          <w:bCs/>
        </w:rPr>
        <w:t xml:space="preserve">numerous </w:t>
      </w:r>
      <w:r w:rsidR="4EB4894F">
        <w:rPr>
          <w:b/>
          <w:bCs/>
        </w:rPr>
        <w:t>condition</w:t>
      </w:r>
      <w:r w:rsidR="4C811838">
        <w:rPr>
          <w:b/>
          <w:bCs/>
        </w:rPr>
        <w:t xml:space="preserve">al business lines </w:t>
      </w:r>
      <w:r w:rsidR="289BB26D">
        <w:rPr>
          <w:b/>
          <w:bCs/>
        </w:rPr>
        <w:t xml:space="preserve">in the </w:t>
      </w:r>
      <w:r w:rsidR="722FD4F7">
        <w:rPr>
          <w:b/>
          <w:bCs/>
        </w:rPr>
        <w:t>Investment Law</w:t>
      </w:r>
      <w:r w:rsidR="0C0B1B22" w:rsidRPr="00CE5FA2">
        <w:t xml:space="preserve">. </w:t>
      </w:r>
      <w:r w:rsidR="0C0B1B22" w:rsidRPr="008575FA">
        <w:t xml:space="preserve">The </w:t>
      </w:r>
      <w:r w:rsidR="459668DB">
        <w:t>I</w:t>
      </w:r>
      <w:r w:rsidR="459668DB" w:rsidRPr="008575FA">
        <w:t xml:space="preserve">nvestment </w:t>
      </w:r>
      <w:r w:rsidR="0C0B1B22" w:rsidRPr="008575FA" w:rsidDel="00671E6A">
        <w:t>law</w:t>
      </w:r>
      <w:r w:rsidR="0C0B1B22" w:rsidRPr="008575FA">
        <w:t xml:space="preserve"> stipulates the main principles for the investment regime, the economic activities which are prohibited, negative lists for foreign investors and the economic activities that are subject to conditions.</w:t>
      </w:r>
      <w:r w:rsidR="00B5785A">
        <w:rPr>
          <w:rStyle w:val="FootnoteReference"/>
        </w:rPr>
        <w:footnoteReference w:id="55"/>
      </w:r>
      <w:r w:rsidR="0C0B1B22" w:rsidRPr="008575FA">
        <w:t xml:space="preserve"> </w:t>
      </w:r>
      <w:bookmarkStart w:id="16" w:name="_Int_3gKiUKzp"/>
      <w:r w:rsidR="0C0B1B22" w:rsidRPr="008575FA">
        <w:t xml:space="preserve">In </w:t>
      </w:r>
      <w:r w:rsidR="0C0B1B22" w:rsidRPr="008575FA">
        <w:lastRenderedPageBreak/>
        <w:t>particular, Article</w:t>
      </w:r>
      <w:bookmarkEnd w:id="16"/>
      <w:r w:rsidR="0C0B1B22" w:rsidRPr="008575FA">
        <w:t xml:space="preserve"> 7 of the </w:t>
      </w:r>
      <w:r w:rsidR="001C2593">
        <w:t>I</w:t>
      </w:r>
      <w:r w:rsidR="001C2593" w:rsidRPr="008575FA">
        <w:t xml:space="preserve">nvestment </w:t>
      </w:r>
      <w:r w:rsidR="00FF0231">
        <w:t>L</w:t>
      </w:r>
      <w:r w:rsidR="00FF0231" w:rsidRPr="008575FA">
        <w:t>aw</w:t>
      </w:r>
      <w:r w:rsidR="0C0B1B22" w:rsidRPr="008575FA">
        <w:t xml:space="preserve"> </w:t>
      </w:r>
      <w:r w:rsidR="0C0B1B22">
        <w:t xml:space="preserve">refers to appendix IV which </w:t>
      </w:r>
      <w:r w:rsidR="0C0B1B22" w:rsidRPr="008575FA">
        <w:t xml:space="preserve">introduces </w:t>
      </w:r>
      <w:r w:rsidR="0C0B1B22">
        <w:t>a list</w:t>
      </w:r>
      <w:r w:rsidR="0C0B1B22" w:rsidRPr="008575FA">
        <w:t xml:space="preserve"> of </w:t>
      </w:r>
      <w:r w:rsidR="0C0B1B22">
        <w:t xml:space="preserve">227 </w:t>
      </w:r>
      <w:r w:rsidR="0C0B1B22" w:rsidRPr="008575FA">
        <w:t xml:space="preserve">“conditional business lines” subject to </w:t>
      </w:r>
      <w:r w:rsidR="00F9766D" w:rsidRPr="008575FA">
        <w:t>restrictions</w:t>
      </w:r>
      <w:r w:rsidR="0C0B1B22" w:rsidRPr="008575FA">
        <w:t xml:space="preserve"> and ex-ante authorizations. </w:t>
      </w:r>
      <w:r w:rsidR="0C0B1B22" w:rsidRPr="00EF7DAA">
        <w:t>The conditional business lines include professional services (e.g., lawyers, doctors etc.), and business activities (e.g., casino business, rice exports etc.).</w:t>
      </w:r>
      <w:r w:rsidR="0C0B1B22">
        <w:t xml:space="preserve"> </w:t>
      </w:r>
      <w:r w:rsidR="0C0B1B22" w:rsidRPr="00E175DC">
        <w:t xml:space="preserve">The list of the conditional business lines is not based on a standard classification of economic activities and </w:t>
      </w:r>
      <w:r w:rsidR="28A0B124">
        <w:t xml:space="preserve">the conditions cover different </w:t>
      </w:r>
      <w:r w:rsidR="0C0B1B22" w:rsidRPr="00E175DC">
        <w:t>levels of economic activity.</w:t>
      </w:r>
      <w:r w:rsidR="00CF221B">
        <w:rPr>
          <w:rStyle w:val="FootnoteReference"/>
        </w:rPr>
        <w:footnoteReference w:id="56"/>
      </w:r>
      <w:r w:rsidR="0C0B1B22" w:rsidRPr="00E175DC">
        <w:t xml:space="preserve"> </w:t>
      </w:r>
      <w:r w:rsidR="001C7A94">
        <w:t>The l</w:t>
      </w:r>
      <w:r w:rsidR="001C7A94" w:rsidRPr="00AA6635">
        <w:t xml:space="preserve">ack of a standardized sector classification (for example, based on Viet Nam’s standard industrial classification of economic activities) puts the onus on the investors to identify the specific activities subject to additional </w:t>
      </w:r>
      <w:r w:rsidR="00A5152D">
        <w:t xml:space="preserve">licensing </w:t>
      </w:r>
      <w:r w:rsidR="001C7A94" w:rsidRPr="00AA6635">
        <w:t>requirements</w:t>
      </w:r>
      <w:r w:rsidR="001C7A94" w:rsidRPr="001C7A94">
        <w:t>.</w:t>
      </w:r>
      <w:r w:rsidR="004D3AA2">
        <w:t xml:space="preserve"> These are aspects that deserve attention to </w:t>
      </w:r>
      <w:r w:rsidR="00A10FED">
        <w:t>improve the regulatory environment for firms.</w:t>
      </w:r>
    </w:p>
    <w:p w14:paraId="10D41F1C" w14:textId="1DAF1183" w:rsidR="00024E7A" w:rsidRDefault="004E6E28" w:rsidP="00D52837">
      <w:pPr>
        <w:jc w:val="both"/>
      </w:pPr>
      <w:r w:rsidRPr="00AA6635">
        <w:rPr>
          <w:b/>
          <w:bCs/>
        </w:rPr>
        <w:t>T</w:t>
      </w:r>
      <w:r w:rsidR="00D22BF7" w:rsidRPr="00AA6635">
        <w:rPr>
          <w:b/>
          <w:bCs/>
        </w:rPr>
        <w:t xml:space="preserve">he number of ex-ante administrative procedures </w:t>
      </w:r>
      <w:r w:rsidR="0049370A">
        <w:rPr>
          <w:b/>
          <w:bCs/>
        </w:rPr>
        <w:t xml:space="preserve">required </w:t>
      </w:r>
      <w:r w:rsidR="00D22BF7" w:rsidRPr="00AA6635">
        <w:rPr>
          <w:b/>
          <w:bCs/>
        </w:rPr>
        <w:t xml:space="preserve">to comply with </w:t>
      </w:r>
      <w:r w:rsidR="543BC913" w:rsidRPr="00AA6635">
        <w:rPr>
          <w:b/>
          <w:bCs/>
        </w:rPr>
        <w:t xml:space="preserve">such </w:t>
      </w:r>
      <w:r w:rsidR="00D22BF7" w:rsidRPr="00AA6635">
        <w:rPr>
          <w:b/>
          <w:bCs/>
        </w:rPr>
        <w:t>conditions is high.</w:t>
      </w:r>
      <w:r w:rsidR="00D22BF7">
        <w:t xml:space="preserve"> A preliminary analysis of APCA’s database of administrative procedures </w:t>
      </w:r>
      <w:r w:rsidR="005D6266">
        <w:t xml:space="preserve">as part of the BLIMS assessment </w:t>
      </w:r>
      <w:r w:rsidR="00D22BF7">
        <w:t>identified 1,</w:t>
      </w:r>
      <w:r w:rsidR="009E68DD" w:rsidRPr="00BE7C6F">
        <w:t xml:space="preserve">584 </w:t>
      </w:r>
      <w:r w:rsidR="00D22BF7" w:rsidRPr="00BE7C6F">
        <w:t>ex-ante authorizations</w:t>
      </w:r>
      <w:r w:rsidR="00D22BF7" w:rsidRPr="00BE7C6F">
        <w:rPr>
          <w:rStyle w:val="FootnoteReference"/>
        </w:rPr>
        <w:footnoteReference w:id="57"/>
      </w:r>
      <w:r w:rsidR="00D22BF7" w:rsidRPr="00BE7C6F">
        <w:t xml:space="preserve"> (out of a total of 3,115 administrative procedures related to business activities).</w:t>
      </w:r>
      <w:r w:rsidR="00BE7C6F" w:rsidRPr="00EA26F6">
        <w:rPr>
          <w:vertAlign w:val="superscript"/>
        </w:rPr>
        <w:footnoteReference w:id="58"/>
      </w:r>
      <w:r w:rsidR="00CD4E49" w:rsidRPr="00BE7C6F">
        <w:t xml:space="preserve"> </w:t>
      </w:r>
      <w:r w:rsidR="009E68DD" w:rsidRPr="00EA26F6">
        <w:t xml:space="preserve">This included different types of ex-ante controls such as announcements, approvals, assessments, certifications, declarations, licenses, permits, registrations, ex-ante inspections, and evaluations. </w:t>
      </w:r>
      <w:r w:rsidR="009E68DD" w:rsidRPr="00DC1005">
        <w:rPr>
          <w:rFonts w:cstheme="minorHAnsi"/>
        </w:rPr>
        <w:t xml:space="preserve">Although this number may include some ex-post administrative procedures, such as re-registrations, </w:t>
      </w:r>
      <w:r w:rsidR="004D06BD" w:rsidRPr="00C27879">
        <w:rPr>
          <w:rStyle w:val="cf01"/>
          <w:rFonts w:asciiTheme="minorHAnsi" w:hAnsiTheme="minorHAnsi" w:cstheme="minorHAnsi"/>
          <w:sz w:val="22"/>
          <w:szCs w:val="22"/>
        </w:rPr>
        <w:t>it suggests there may be room for further streamlining</w:t>
      </w:r>
      <w:r w:rsidR="009E68DD" w:rsidRPr="00DC1005">
        <w:rPr>
          <w:rFonts w:cstheme="minorHAnsi"/>
        </w:rPr>
        <w:t>.</w:t>
      </w:r>
      <w:r w:rsidR="009E68DD" w:rsidRPr="00EA26F6">
        <w:t xml:space="preserve"> For example, the total number of licenses an</w:t>
      </w:r>
      <w:r w:rsidR="00B005DB" w:rsidRPr="00EA26F6">
        <w:t>d</w:t>
      </w:r>
      <w:r w:rsidR="009E68DD" w:rsidRPr="00EA26F6">
        <w:t xml:space="preserve"> permits in Moldova is 152, following a </w:t>
      </w:r>
      <w:r w:rsidR="00B005DB" w:rsidRPr="00EA26F6">
        <w:t>comprehensive</w:t>
      </w:r>
      <w:r w:rsidR="009E68DD" w:rsidRPr="00EA26F6">
        <w:t xml:space="preserve"> reform that was supported by the World Bank</w:t>
      </w:r>
      <w:r w:rsidR="00831893">
        <w:t>.</w:t>
      </w:r>
      <w:r w:rsidR="00681E0D">
        <w:rPr>
          <w:rStyle w:val="FootnoteReference"/>
        </w:rPr>
        <w:footnoteReference w:id="59"/>
      </w:r>
      <w:r w:rsidR="009E68DD" w:rsidRPr="00EA26F6">
        <w:t xml:space="preserve"> </w:t>
      </w:r>
    </w:p>
    <w:p w14:paraId="071FA3BD" w14:textId="38B1799E" w:rsidR="00CA589F" w:rsidRPr="00CA589F" w:rsidRDefault="6EB1EB34" w:rsidP="00CA589F">
      <w:pPr>
        <w:jc w:val="both"/>
      </w:pPr>
      <w:r w:rsidRPr="4DA8FE4C">
        <w:rPr>
          <w:b/>
          <w:bCs/>
        </w:rPr>
        <w:t>L</w:t>
      </w:r>
      <w:r w:rsidR="00CA589F" w:rsidRPr="4DA8FE4C">
        <w:rPr>
          <w:b/>
          <w:bCs/>
        </w:rPr>
        <w:t>ack</w:t>
      </w:r>
      <w:r w:rsidR="00CA589F" w:rsidRPr="00EA26F6">
        <w:rPr>
          <w:b/>
          <w:bCs/>
        </w:rPr>
        <w:t xml:space="preserve"> of standardized terminology </w:t>
      </w:r>
      <w:r w:rsidR="00265B64" w:rsidRPr="00EA26F6">
        <w:rPr>
          <w:b/>
          <w:bCs/>
        </w:rPr>
        <w:t xml:space="preserve">with regards to licenses and other ex-ante approvals </w:t>
      </w:r>
      <w:r w:rsidR="02CD3B1B" w:rsidRPr="4DA8FE4C">
        <w:rPr>
          <w:b/>
          <w:bCs/>
        </w:rPr>
        <w:t xml:space="preserve">also </w:t>
      </w:r>
      <w:r w:rsidR="00E97E3E" w:rsidRPr="00EA26F6">
        <w:rPr>
          <w:b/>
          <w:bCs/>
        </w:rPr>
        <w:t>undermines regulatory coherence.</w:t>
      </w:r>
      <w:r w:rsidR="00E97E3E">
        <w:t xml:space="preserve"> </w:t>
      </w:r>
      <w:r w:rsidR="00CA589F" w:rsidRPr="00CA589F">
        <w:t xml:space="preserve">Decree 63 </w:t>
      </w:r>
      <w:r w:rsidR="00E97E3E">
        <w:t xml:space="preserve">on the control of Administrative Procedures </w:t>
      </w:r>
      <w:r w:rsidR="00CA589F" w:rsidRPr="00CA589F">
        <w:t xml:space="preserve">does not stipulate a standardized terminology and classification of </w:t>
      </w:r>
      <w:r w:rsidR="00E97E3E">
        <w:t>administrative procedures</w:t>
      </w:r>
      <w:r w:rsidR="00F773B9">
        <w:t xml:space="preserve"> and </w:t>
      </w:r>
      <w:r w:rsidR="00CA589F" w:rsidRPr="00CA589F">
        <w:t xml:space="preserve">does not define each regulatory instrument that can be delivered through an </w:t>
      </w:r>
      <w:r w:rsidR="00F773B9">
        <w:t>administrative procedure. T</w:t>
      </w:r>
      <w:r w:rsidR="00CA589F" w:rsidRPr="00CA589F">
        <w:t>herefore</w:t>
      </w:r>
      <w:r w:rsidR="005D6266">
        <w:t>,</w:t>
      </w:r>
      <w:r w:rsidR="00CA589F" w:rsidRPr="00CA589F">
        <w:t xml:space="preserve"> there is </w:t>
      </w:r>
      <w:r w:rsidR="002C4387">
        <w:t>no</w:t>
      </w:r>
      <w:r w:rsidR="00CA589F" w:rsidRPr="00CA589F">
        <w:t xml:space="preserve"> uniform taxonomy of </w:t>
      </w:r>
      <w:r w:rsidR="005D6266">
        <w:t>administrative procedure</w:t>
      </w:r>
      <w:r w:rsidR="002C4387">
        <w:t>s</w:t>
      </w:r>
      <w:r w:rsidR="00786E7D">
        <w:t xml:space="preserve"> across all government authorities</w:t>
      </w:r>
      <w:r w:rsidR="00CA589F" w:rsidRPr="00CA589F">
        <w:t xml:space="preserve">. As a result, it is in each Ministry’s discretion to determine the terminology and type of procedures for each </w:t>
      </w:r>
      <w:r w:rsidR="00786E7D">
        <w:t>administrative procedure</w:t>
      </w:r>
      <w:r w:rsidR="00CA589F" w:rsidRPr="00CA589F">
        <w:t xml:space="preserve">. The World Bank’s analysis </w:t>
      </w:r>
      <w:r w:rsidR="00025D5E">
        <w:t>identified</w:t>
      </w:r>
      <w:r w:rsidR="00CA589F" w:rsidRPr="00CA589F">
        <w:t xml:space="preserve"> several types of </w:t>
      </w:r>
      <w:r w:rsidR="00025D5E">
        <w:t>administrative procedures</w:t>
      </w:r>
      <w:r w:rsidR="00CA589F" w:rsidRPr="00CA589F">
        <w:t xml:space="preserve"> for ex-ante business licensing procedures, and the terminology is not always consistent.</w:t>
      </w:r>
      <w:r w:rsidR="00C7797D">
        <w:t xml:space="preserve"> D</w:t>
      </w:r>
      <w:r w:rsidR="00CA589F" w:rsidRPr="00CA589F">
        <w:t>ifferent terms are being used such as “</w:t>
      </w:r>
      <w:r w:rsidR="006D6ABE" w:rsidRPr="00CA589F">
        <w:t>licens</w:t>
      </w:r>
      <w:r w:rsidR="006D6ABE">
        <w:t>es</w:t>
      </w:r>
      <w:r w:rsidR="00CA589F" w:rsidRPr="00CA589F">
        <w:t>”, “approvals”, “assessments/approvals”, “certifications”, “declarations”, “registrations”, and “permits”, without a standardized typology about what each term stands for.</w:t>
      </w:r>
    </w:p>
    <w:p w14:paraId="75D05B0C" w14:textId="5AC97175" w:rsidR="00947CB5" w:rsidRDefault="3AB6AA05" w:rsidP="00CA589F">
      <w:pPr>
        <w:jc w:val="both"/>
      </w:pPr>
      <w:r w:rsidRPr="00EA26F6">
        <w:rPr>
          <w:rFonts w:ascii="Calibri" w:hAnsi="Calibri" w:cs="Calibri"/>
          <w:b/>
          <w:bCs/>
        </w:rPr>
        <w:t xml:space="preserve">Risk-based approaches </w:t>
      </w:r>
      <w:r w:rsidR="2BD4A04A" w:rsidRPr="00407B6F">
        <w:rPr>
          <w:rFonts w:ascii="Calibri" w:hAnsi="Calibri" w:cs="Calibri"/>
          <w:b/>
          <w:bCs/>
        </w:rPr>
        <w:t>in licensing and inspections</w:t>
      </w:r>
      <w:r w:rsidR="2BD4A04A" w:rsidRPr="008F6BC6">
        <w:rPr>
          <w:rFonts w:ascii="Calibri" w:hAnsi="Calibri" w:cs="Calibri"/>
          <w:b/>
          <w:bCs/>
        </w:rPr>
        <w:t xml:space="preserve"> </w:t>
      </w:r>
      <w:r w:rsidRPr="00EA26F6">
        <w:rPr>
          <w:rFonts w:ascii="Calibri" w:hAnsi="Calibri" w:cs="Calibri"/>
          <w:b/>
          <w:bCs/>
        </w:rPr>
        <w:t xml:space="preserve">exist in limited cases, </w:t>
      </w:r>
      <w:r w:rsidR="4E40375B" w:rsidRPr="15E5BA73">
        <w:rPr>
          <w:rFonts w:ascii="Calibri" w:hAnsi="Calibri" w:cs="Calibri"/>
          <w:b/>
          <w:bCs/>
        </w:rPr>
        <w:t xml:space="preserve">but </w:t>
      </w:r>
      <w:r w:rsidRPr="00EA26F6">
        <w:rPr>
          <w:rFonts w:ascii="Calibri" w:hAnsi="Calibri" w:cs="Calibri"/>
          <w:b/>
          <w:bCs/>
        </w:rPr>
        <w:t>they are</w:t>
      </w:r>
      <w:r w:rsidR="712EC7A5" w:rsidRPr="15E5BA73">
        <w:rPr>
          <w:rFonts w:ascii="Calibri" w:hAnsi="Calibri" w:cs="Calibri"/>
          <w:b/>
          <w:bCs/>
        </w:rPr>
        <w:t xml:space="preserve"> often</w:t>
      </w:r>
      <w:r w:rsidRPr="00EA26F6">
        <w:rPr>
          <w:rFonts w:ascii="Calibri" w:hAnsi="Calibri" w:cs="Calibri"/>
          <w:b/>
          <w:bCs/>
        </w:rPr>
        <w:t xml:space="preserve"> underdeveloped,</w:t>
      </w:r>
      <w:r w:rsidRPr="15E5BA73">
        <w:rPr>
          <w:rFonts w:ascii="Calibri" w:hAnsi="Calibri" w:cs="Calibri"/>
          <w:b/>
          <w:bCs/>
        </w:rPr>
        <w:t xml:space="preserve"> </w:t>
      </w:r>
      <w:r w:rsidR="7991108A" w:rsidRPr="15E5BA73">
        <w:rPr>
          <w:rFonts w:ascii="Calibri" w:hAnsi="Calibri" w:cs="Calibri"/>
          <w:b/>
          <w:bCs/>
        </w:rPr>
        <w:t xml:space="preserve">limited </w:t>
      </w:r>
      <w:r w:rsidR="5AC3799B" w:rsidRPr="15E5BA73">
        <w:rPr>
          <w:rFonts w:ascii="Calibri" w:hAnsi="Calibri" w:cs="Calibri"/>
          <w:b/>
          <w:bCs/>
        </w:rPr>
        <w:t xml:space="preserve">in </w:t>
      </w:r>
      <w:r w:rsidRPr="00EA26F6">
        <w:rPr>
          <w:rFonts w:ascii="Calibri" w:hAnsi="Calibri" w:cs="Calibri"/>
          <w:b/>
          <w:bCs/>
        </w:rPr>
        <w:t>scope and not systematically applie</w:t>
      </w:r>
      <w:r w:rsidR="0582D2E2" w:rsidRPr="15E5BA73">
        <w:rPr>
          <w:rFonts w:ascii="Calibri" w:hAnsi="Calibri" w:cs="Calibri"/>
          <w:b/>
          <w:bCs/>
        </w:rPr>
        <w:t>d</w:t>
      </w:r>
      <w:r w:rsidRPr="00EA26F6">
        <w:rPr>
          <w:rFonts w:ascii="Calibri" w:hAnsi="Calibri" w:cs="Calibri"/>
          <w:b/>
          <w:bCs/>
        </w:rPr>
        <w:t>.</w:t>
      </w:r>
      <w:r w:rsidR="0C0B1B22" w:rsidRPr="00CE5FA2">
        <w:t xml:space="preserve"> </w:t>
      </w:r>
      <w:r w:rsidR="0C0B1B22" w:rsidRPr="00EF7DAA">
        <w:t>According to Article 7, paragraph 1</w:t>
      </w:r>
      <w:r w:rsidR="0C0B1B22">
        <w:t xml:space="preserve"> of the Investment Law</w:t>
      </w:r>
      <w:r w:rsidR="0C0B1B22" w:rsidRPr="00EF7DAA">
        <w:t xml:space="preserve">, the selection of </w:t>
      </w:r>
      <w:r w:rsidR="0C0B1B22">
        <w:t>conditional business lines</w:t>
      </w:r>
      <w:r w:rsidR="0C0B1B22" w:rsidRPr="00EF7DAA">
        <w:t xml:space="preserve"> is based on the grounds of safeguarding </w:t>
      </w:r>
      <w:r w:rsidR="0C0B1B22" w:rsidRPr="00EF7DAA">
        <w:lastRenderedPageBreak/>
        <w:t>national defense and security, social order and security, social ethics, or public health. This is in the direction of a risk-based approach, whereby the regulators impose ex ante authorizations and technical requirements to safeguard against risks to health, safety, and the environment. At the same time, the list of conditional business lines includes several economic activities that are considered to be low risk</w:t>
      </w:r>
      <w:r w:rsidRPr="00C7185A">
        <w:t xml:space="preserve"> in jurisdictions that apply a risk-based approach to regulation, such as in several EU and OECD countries</w:t>
      </w:r>
      <w:r w:rsidR="0C0B1B22" w:rsidRPr="00EF7DAA">
        <w:t>.</w:t>
      </w:r>
      <w:r w:rsidR="00D22BF7" w:rsidRPr="00EF7DAA">
        <w:rPr>
          <w:vertAlign w:val="superscript"/>
        </w:rPr>
        <w:footnoteReference w:id="60"/>
      </w:r>
      <w:r w:rsidR="0C0B1B22" w:rsidRPr="00EF7DAA">
        <w:t xml:space="preserve"> </w:t>
      </w:r>
      <w:r w:rsidR="0C0B1B22" w:rsidRPr="00194B8F">
        <w:t>Risk-based approaches to regulation have</w:t>
      </w:r>
      <w:r w:rsidR="2BD4A04A">
        <w:t xml:space="preserve"> also</w:t>
      </w:r>
      <w:r w:rsidR="0C0B1B22" w:rsidRPr="00194B8F">
        <w:t xml:space="preserve"> been introduced in </w:t>
      </w:r>
      <w:r w:rsidR="0C0B1B22">
        <w:t>areas such</w:t>
      </w:r>
      <w:r w:rsidR="0C0B1B22" w:rsidRPr="00194B8F">
        <w:t xml:space="preserve"> as food safety</w:t>
      </w:r>
      <w:r w:rsidR="0C0B1B22">
        <w:t>, but are not systematically applied.</w:t>
      </w:r>
      <w:r w:rsidR="00D22BF7">
        <w:rPr>
          <w:rStyle w:val="FootnoteReference"/>
        </w:rPr>
        <w:footnoteReference w:id="61"/>
      </w:r>
      <w:r w:rsidR="0C0B1B22">
        <w:t xml:space="preserve"> </w:t>
      </w:r>
      <w:r w:rsidR="1C799E50" w:rsidRPr="00A66A97">
        <w:t xml:space="preserve">For example, in the food safety domain, the </w:t>
      </w:r>
      <w:r w:rsidR="1C799E50" w:rsidRPr="00A66A97">
        <w:rPr>
          <w:lang w:val="en-CA"/>
        </w:rPr>
        <w:t>Agency for Food Safety</w:t>
      </w:r>
      <w:r w:rsidR="1C799E50" w:rsidRPr="00A66A97">
        <w:t xml:space="preserve"> in the Ministry of Health (MoH) maintains a regime of self-declarations that applies in the case of packaged products and beverages. This is a lighter regime compared to approvals and licenses that apply to more risk-sensitive activities. Nevertheless, food establishments (e.g., restaurants and other businesses providing retail food services) are typically subject to ex-ante controls, including </w:t>
      </w:r>
      <w:r w:rsidR="67C4474A">
        <w:t>on</w:t>
      </w:r>
      <w:r w:rsidR="035D9DF6">
        <w:t xml:space="preserve">-site </w:t>
      </w:r>
      <w:r w:rsidR="1C799E50" w:rsidRPr="00A66A97">
        <w:t>inspections. This indicates that even when there is a differentiation in terms of treatment, this is</w:t>
      </w:r>
      <w:r w:rsidR="00B36D6F" w:rsidRPr="00A66A97">
        <w:t xml:space="preserve"> </w:t>
      </w:r>
      <w:r w:rsidR="1C799E50" w:rsidRPr="00A66A97">
        <w:t>limited in scope and not aligned with international good practices.</w:t>
      </w:r>
      <w:r w:rsidR="00A66A97" w:rsidRPr="00A66A97">
        <w:rPr>
          <w:vertAlign w:val="superscript"/>
        </w:rPr>
        <w:footnoteReference w:id="62"/>
      </w:r>
    </w:p>
    <w:p w14:paraId="0D40BD0D" w14:textId="76C1FDD0" w:rsidR="00CA589F" w:rsidRDefault="0C0B1B22" w:rsidP="00CA589F">
      <w:pPr>
        <w:jc w:val="both"/>
      </w:pPr>
      <w:r w:rsidRPr="00EA26F6">
        <w:rPr>
          <w:b/>
          <w:bCs/>
        </w:rPr>
        <w:t xml:space="preserve">Resolution 68 </w:t>
      </w:r>
      <w:r w:rsidR="1C799E50" w:rsidRPr="00EA26F6">
        <w:rPr>
          <w:b/>
          <w:bCs/>
        </w:rPr>
        <w:t xml:space="preserve">does not </w:t>
      </w:r>
      <w:r w:rsidRPr="00EA26F6">
        <w:rPr>
          <w:b/>
          <w:bCs/>
        </w:rPr>
        <w:t>include a risk-based approach to reviewing existing regulations</w:t>
      </w:r>
      <w:r w:rsidR="00567F3B">
        <w:rPr>
          <w:b/>
          <w:bCs/>
        </w:rPr>
        <w:t xml:space="preserve"> either</w:t>
      </w:r>
      <w:r w:rsidR="044B39E4" w:rsidRPr="00EA26F6">
        <w:rPr>
          <w:b/>
          <w:bCs/>
        </w:rPr>
        <w:t>.</w:t>
      </w:r>
      <w:r w:rsidR="5B2A3ACA" w:rsidRPr="00EA26F6">
        <w:rPr>
          <w:b/>
          <w:bCs/>
        </w:rPr>
        <w:t xml:space="preserve"> </w:t>
      </w:r>
      <w:r w:rsidR="00C409F6">
        <w:t>In reality</w:t>
      </w:r>
      <w:r w:rsidRPr="00194B8F">
        <w:t xml:space="preserve">, business activities that pose low risks to public </w:t>
      </w:r>
      <w:r w:rsidR="00E65D1E">
        <w:t>safety</w:t>
      </w:r>
      <w:r w:rsidR="00571FAA" w:rsidRPr="00194B8F">
        <w:t xml:space="preserve"> </w:t>
      </w:r>
      <w:r w:rsidRPr="00194B8F">
        <w:t>are sometimes subject to licensing, and many activities are subject to frequent licensing renewal requirements and ex-ante inspections.</w:t>
      </w:r>
      <w:r w:rsidR="360219B4" w:rsidRPr="00CA589F">
        <w:t xml:space="preserve"> </w:t>
      </w:r>
      <w:r w:rsidR="1DACF2AF">
        <w:t xml:space="preserve">For example, </w:t>
      </w:r>
      <w:r w:rsidR="360219B4" w:rsidRPr="007761DC">
        <w:t xml:space="preserve">the </w:t>
      </w:r>
      <w:r w:rsidR="2AE8F3D2" w:rsidRPr="007761DC">
        <w:t xml:space="preserve">preliminary </w:t>
      </w:r>
      <w:r w:rsidR="1DACF2AF">
        <w:t xml:space="preserve">assessment </w:t>
      </w:r>
      <w:r w:rsidR="31465565">
        <w:t xml:space="preserve">of licensing regulations </w:t>
      </w:r>
      <w:r w:rsidR="360219B4" w:rsidRPr="007761DC">
        <w:t xml:space="preserve">identified </w:t>
      </w:r>
      <w:r w:rsidR="00574CBB" w:rsidRPr="00574CBB">
        <w:t>649</w:t>
      </w:r>
      <w:r w:rsidR="360219B4" w:rsidRPr="00574CBB">
        <w:t xml:space="preserve"> renewals, </w:t>
      </w:r>
      <w:r w:rsidR="360219B4" w:rsidRPr="007761DC">
        <w:t xml:space="preserve">a practice that should be limited to </w:t>
      </w:r>
      <w:r w:rsidR="1646A56B">
        <w:t xml:space="preserve">a small number of </w:t>
      </w:r>
      <w:r w:rsidR="360219B4" w:rsidRPr="007761DC">
        <w:t xml:space="preserve">specific cases. </w:t>
      </w:r>
      <w:r w:rsidR="1DACF2AF">
        <w:t xml:space="preserve">APCA/OOG </w:t>
      </w:r>
      <w:r w:rsidR="3E0872AC" w:rsidRPr="00AA6635">
        <w:t>has plans to strengthen risk-based approaches to reviewing licenses and</w:t>
      </w:r>
      <w:r w:rsidR="1DACF2AF">
        <w:t xml:space="preserve"> is introducing an assessment of risk as part of the guidance for </w:t>
      </w:r>
      <w:r w:rsidR="00AE11B2">
        <w:t xml:space="preserve">the </w:t>
      </w:r>
      <w:r w:rsidR="1DACF2AF">
        <w:t xml:space="preserve">review of </w:t>
      </w:r>
      <w:r w:rsidR="00293443">
        <w:t>key licensing procedures.</w:t>
      </w:r>
      <w:r w:rsidR="00590C1D" w:rsidRPr="00AA6635">
        <w:rPr>
          <w:rStyle w:val="FootnoteReference"/>
        </w:rPr>
        <w:footnoteReference w:id="63"/>
      </w:r>
      <w:r w:rsidR="0FF3D408" w:rsidRPr="00293443">
        <w:t xml:space="preserve"> </w:t>
      </w:r>
    </w:p>
    <w:p w14:paraId="4D8EAE4E" w14:textId="0B3319A4" w:rsidR="00D22BF7" w:rsidRDefault="0C0B1B22" w:rsidP="00D22BF7">
      <w:pPr>
        <w:jc w:val="both"/>
      </w:pPr>
      <w:r>
        <w:rPr>
          <w:b/>
          <w:bCs/>
        </w:rPr>
        <w:t xml:space="preserve">Resolution 68 aims at improving the consistency of the regulatory framework by consolidating legal texts and minimizing the number of detailed regulations pertaining to the same topic. </w:t>
      </w:r>
      <w:r w:rsidRPr="008961C2">
        <w:t xml:space="preserve">It also introduces the principle of issuing one single legal document to amend multiple legal documents </w:t>
      </w:r>
      <w:r w:rsidRPr="00F642AF">
        <w:t xml:space="preserve">(except for documents regulating complex and sensitive issues related to national security, social </w:t>
      </w:r>
      <w:r w:rsidR="1929CE39" w:rsidRPr="00F642AF">
        <w:t>order,</w:t>
      </w:r>
      <w:r w:rsidRPr="00F642AF">
        <w:t xml:space="preserve"> and safety)</w:t>
      </w:r>
      <w:r>
        <w:t xml:space="preserve">. Improving regulatory consistency and consolidating amendments can help address </w:t>
      </w:r>
      <w:r w:rsidR="001C44FB">
        <w:t>difficulties</w:t>
      </w:r>
      <w:r>
        <w:t xml:space="preserve"> in dealing with regulatory changes</w:t>
      </w:r>
      <w:r w:rsidR="001C44FB">
        <w:t>;</w:t>
      </w:r>
      <w:r w:rsidR="27F607FA">
        <w:t xml:space="preserve"> </w:t>
      </w:r>
      <w:r w:rsidR="18EC9D8F">
        <w:t>almost 10 percent of firms</w:t>
      </w:r>
      <w:r w:rsidR="5975020F">
        <w:t xml:space="preserve"> </w:t>
      </w:r>
      <w:r w:rsidR="10F95C79">
        <w:t>reported dealing</w:t>
      </w:r>
      <w:r w:rsidR="5975020F">
        <w:t xml:space="preserve"> with changes in policies and regulations as a challenge</w:t>
      </w:r>
      <w:r w:rsidR="73C117D6">
        <w:t xml:space="preserve">, </w:t>
      </w:r>
      <w:r>
        <w:t>according to the PCI</w:t>
      </w:r>
      <w:r w:rsidR="73C117D6">
        <w:t xml:space="preserve"> 2022.</w:t>
      </w:r>
      <w:r w:rsidR="001C154F" w:rsidRPr="0033192D">
        <w:rPr>
          <w:rStyle w:val="FootnoteReference"/>
        </w:rPr>
        <w:footnoteReference w:id="64"/>
      </w:r>
      <w:r w:rsidR="73C117D6">
        <w:t xml:space="preserve"> </w:t>
      </w:r>
      <w:r w:rsidR="1544D40E">
        <w:t xml:space="preserve">In practice, </w:t>
      </w:r>
      <w:r w:rsidR="0F721188">
        <w:t xml:space="preserve">based on the list of </w:t>
      </w:r>
      <w:r w:rsidR="79F582EB">
        <w:t xml:space="preserve">legal </w:t>
      </w:r>
      <w:r w:rsidR="0F721188">
        <w:t xml:space="preserve">documents reviewed, </w:t>
      </w:r>
      <w:r w:rsidR="21F46E89">
        <w:t xml:space="preserve">it is not clear </w:t>
      </w:r>
      <w:r w:rsidR="00CA577A">
        <w:t xml:space="preserve">the level of </w:t>
      </w:r>
      <w:r w:rsidR="79F582EB">
        <w:t xml:space="preserve">consolidation </w:t>
      </w:r>
      <w:r w:rsidR="00CA577A">
        <w:t xml:space="preserve">that </w:t>
      </w:r>
      <w:r w:rsidR="79F582EB">
        <w:t>took place.</w:t>
      </w:r>
    </w:p>
    <w:p w14:paraId="2EAC05DF" w14:textId="5BB9CDB2" w:rsidR="00B460E5" w:rsidRDefault="00D22BF7" w:rsidP="006E29C4">
      <w:pPr>
        <w:jc w:val="both"/>
      </w:pPr>
      <w:r w:rsidRPr="00331D55">
        <w:rPr>
          <w:b/>
          <w:bCs/>
        </w:rPr>
        <w:lastRenderedPageBreak/>
        <w:t xml:space="preserve">Private sector representatives </w:t>
      </w:r>
      <w:r>
        <w:rPr>
          <w:b/>
          <w:bCs/>
        </w:rPr>
        <w:t>consulted for this note acknowledged</w:t>
      </w:r>
      <w:r w:rsidRPr="00331D55">
        <w:rPr>
          <w:b/>
          <w:bCs/>
        </w:rPr>
        <w:t xml:space="preserve"> the </w:t>
      </w:r>
      <w:r>
        <w:rPr>
          <w:b/>
          <w:bCs/>
        </w:rPr>
        <w:t xml:space="preserve">importance of Resolution 68’s objectives, while suggesting the regulatory improvements could be more ambitious. </w:t>
      </w:r>
      <w:r>
        <w:t>There is a general view that the efforts to streamline regulations, digitalize procedures and engage with the private sector have reduced the burden of regulations</w:t>
      </w:r>
      <w:r w:rsidRPr="001D176C">
        <w:t>.</w:t>
      </w:r>
      <w:r w:rsidRPr="001C154F">
        <w:t xml:space="preserve"> </w:t>
      </w:r>
      <w:r w:rsidR="000B0AC2">
        <w:t>Yet</w:t>
      </w:r>
      <w:r w:rsidRPr="00BD403B">
        <w:t xml:space="preserve">, </w:t>
      </w:r>
      <w:r>
        <w:t xml:space="preserve">private sector representatives highlighted that </w:t>
      </w:r>
      <w:r w:rsidR="000F2065" w:rsidRPr="000F2065">
        <w:t>many changes focused on reducing the number of documents required or time to wait for results.</w:t>
      </w:r>
      <w:r>
        <w:t xml:space="preserve">. </w:t>
      </w:r>
      <w:r w:rsidR="00E17968">
        <w:t>Businesses often</w:t>
      </w:r>
      <w:r>
        <w:t xml:space="preserve"> </w:t>
      </w:r>
      <w:r w:rsidRPr="00BD403B">
        <w:t xml:space="preserve">need to obtain approvals from </w:t>
      </w:r>
      <w:r>
        <w:t>several</w:t>
      </w:r>
      <w:r w:rsidRPr="00BD403B">
        <w:t xml:space="preserve"> agencies, and many administrative procedures for businesses still require paper documents and in-person visits to government offices. Businesses</w:t>
      </w:r>
      <w:r w:rsidR="4D2ACE90">
        <w:t xml:space="preserve"> also</w:t>
      </w:r>
      <w:r w:rsidR="27F2A4F7">
        <w:t xml:space="preserve"> often</w:t>
      </w:r>
      <w:r w:rsidRPr="00BD403B">
        <w:t xml:space="preserve"> need to return to government offices to pick up the hard-copy version of the license.</w:t>
      </w:r>
    </w:p>
    <w:p w14:paraId="00981FDE" w14:textId="20B912F6" w:rsidR="00701A34" w:rsidRPr="00701A34" w:rsidRDefault="4167FB7E" w:rsidP="16DF2576">
      <w:pPr>
        <w:pStyle w:val="Heading3"/>
        <w:spacing w:before="100" w:beforeAutospacing="1" w:after="100" w:afterAutospacing="1"/>
      </w:pPr>
      <w:r>
        <w:t>Institutional oversight and coordination</w:t>
      </w:r>
    </w:p>
    <w:tbl>
      <w:tblPr>
        <w:tblStyle w:val="TableGrid"/>
        <w:tblW w:w="0" w:type="auto"/>
        <w:tblLook w:val="04A0" w:firstRow="1" w:lastRow="0" w:firstColumn="1" w:lastColumn="0" w:noHBand="0" w:noVBand="1"/>
      </w:tblPr>
      <w:tblGrid>
        <w:gridCol w:w="9350"/>
      </w:tblGrid>
      <w:tr w:rsidR="00545C40" w14:paraId="59182786" w14:textId="77777777" w:rsidTr="00AA6635">
        <w:tc>
          <w:tcPr>
            <w:tcW w:w="9350" w:type="dxa"/>
            <w:shd w:val="clear" w:color="auto" w:fill="D9E2F3" w:themeFill="accent1" w:themeFillTint="33"/>
          </w:tcPr>
          <w:p w14:paraId="21D7681F" w14:textId="77777777" w:rsidR="00545C40" w:rsidRDefault="00545C40" w:rsidP="00AA6635">
            <w:r>
              <w:t>The key findings from the analysis of oversight and coordination include:</w:t>
            </w:r>
          </w:p>
          <w:p w14:paraId="2A4674B7" w14:textId="3AFA2FB4" w:rsidR="00FE3FA9" w:rsidRDefault="6342D626" w:rsidP="00FE3FA9">
            <w:pPr>
              <w:pStyle w:val="ListParagraph"/>
              <w:numPr>
                <w:ilvl w:val="0"/>
                <w:numId w:val="31"/>
              </w:numPr>
            </w:pPr>
            <w:r>
              <w:t>A</w:t>
            </w:r>
            <w:r w:rsidR="58B60910">
              <w:t xml:space="preserve">n institutional structure for </w:t>
            </w:r>
            <w:r>
              <w:t>regulatory over</w:t>
            </w:r>
            <w:r w:rsidR="58B60910">
              <w:t xml:space="preserve">sight has been established and anchored at the center of the </w:t>
            </w:r>
            <w:r w:rsidR="0DE4BDF4">
              <w:t>government</w:t>
            </w:r>
            <w:r w:rsidR="58B60910">
              <w:t xml:space="preserve"> (APCA/OOG)</w:t>
            </w:r>
            <w:r w:rsidR="00AD1EB3">
              <w:t>, under Prime Minister’s oversight</w:t>
            </w:r>
            <w:r w:rsidR="0B76B082">
              <w:t>.</w:t>
            </w:r>
            <w:r w:rsidR="58B60910">
              <w:t xml:space="preserve"> </w:t>
            </w:r>
          </w:p>
          <w:p w14:paraId="07029633" w14:textId="2EBC43C1" w:rsidR="00777681" w:rsidRDefault="00407C90" w:rsidP="00AA6635">
            <w:pPr>
              <w:pStyle w:val="ListParagraph"/>
              <w:numPr>
                <w:ilvl w:val="0"/>
                <w:numId w:val="31"/>
              </w:numPr>
            </w:pPr>
            <w:r>
              <w:t xml:space="preserve">Resolution 68 calls for coordination among ministries as </w:t>
            </w:r>
            <w:r w:rsidR="00EF1693">
              <w:t>a key solution,</w:t>
            </w:r>
            <w:r w:rsidR="007B1B7F">
              <w:t xml:space="preserve"> and APCA/OOG has played a strong coordinator role. However,</w:t>
            </w:r>
            <w:r w:rsidR="00EF1693">
              <w:t xml:space="preserve"> </w:t>
            </w:r>
            <w:r w:rsidR="00911768">
              <w:t xml:space="preserve">inter-ministerial coordination at technical level </w:t>
            </w:r>
            <w:r w:rsidR="00F77FAA">
              <w:t xml:space="preserve">needs to be strengthened </w:t>
            </w:r>
            <w:r w:rsidR="0043190B">
              <w:t xml:space="preserve">for </w:t>
            </w:r>
            <w:r w:rsidR="00F77FAA">
              <w:t>better results.</w:t>
            </w:r>
          </w:p>
          <w:p w14:paraId="67523DC2" w14:textId="4EEE501C" w:rsidR="00545C40" w:rsidRDefault="00545C40" w:rsidP="4DA8FE4C">
            <w:pPr>
              <w:jc w:val="both"/>
              <w:rPr>
                <w:b/>
                <w:bCs/>
              </w:rPr>
            </w:pPr>
          </w:p>
        </w:tc>
      </w:tr>
    </w:tbl>
    <w:p w14:paraId="2DDD06D0" w14:textId="06D2FC1F" w:rsidR="4DA8FE4C" w:rsidRDefault="4DA8FE4C" w:rsidP="4DA8FE4C">
      <w:pPr>
        <w:jc w:val="both"/>
        <w:rPr>
          <w:b/>
          <w:bCs/>
        </w:rPr>
      </w:pPr>
    </w:p>
    <w:p w14:paraId="0303D7E4" w14:textId="7EC8196C" w:rsidR="00BC5413" w:rsidRPr="00BC5413" w:rsidRDefault="4C175025" w:rsidP="00BC5413">
      <w:pPr>
        <w:jc w:val="both"/>
      </w:pPr>
      <w:r w:rsidRPr="00BC5413">
        <w:rPr>
          <w:b/>
          <w:bCs/>
          <w:kern w:val="2"/>
          <w14:ligatures w14:val="standardContextual"/>
        </w:rPr>
        <w:t xml:space="preserve">Viet Nam has an established </w:t>
      </w:r>
      <w:r w:rsidR="1E334165" w:rsidRPr="15E5BA73">
        <w:rPr>
          <w:b/>
          <w:bCs/>
        </w:rPr>
        <w:t xml:space="preserve">an </w:t>
      </w:r>
      <w:r w:rsidRPr="00BC5413">
        <w:rPr>
          <w:b/>
          <w:bCs/>
          <w:kern w:val="2"/>
          <w14:ligatures w14:val="standardContextual"/>
        </w:rPr>
        <w:t xml:space="preserve">institutional structure for regulatory reform, anchored </w:t>
      </w:r>
      <w:r w:rsidR="6342D626" w:rsidRPr="15E5BA73">
        <w:rPr>
          <w:b/>
          <w:bCs/>
        </w:rPr>
        <w:t>at the center of the government</w:t>
      </w:r>
      <w:r w:rsidRPr="00BC5413">
        <w:rPr>
          <w:b/>
          <w:bCs/>
          <w:kern w:val="2"/>
          <w14:ligatures w14:val="standardContextual"/>
        </w:rPr>
        <w:t xml:space="preserve"> </w:t>
      </w:r>
      <w:r w:rsidR="6342D626" w:rsidRPr="15E5BA73">
        <w:rPr>
          <w:b/>
          <w:bCs/>
        </w:rPr>
        <w:t>(</w:t>
      </w:r>
      <w:r w:rsidR="2EA6A13A">
        <w:rPr>
          <w:b/>
          <w:bCs/>
          <w:kern w:val="2"/>
          <w14:ligatures w14:val="standardContextual"/>
        </w:rPr>
        <w:t>APCA/OOG</w:t>
      </w:r>
      <w:r w:rsidR="6342D626" w:rsidRPr="15E5BA73">
        <w:rPr>
          <w:b/>
          <w:bCs/>
        </w:rPr>
        <w:t>)</w:t>
      </w:r>
      <w:r w:rsidR="3A950C86">
        <w:rPr>
          <w:b/>
          <w:bCs/>
          <w:kern w:val="2"/>
          <w14:ligatures w14:val="standardContextual"/>
        </w:rPr>
        <w:t xml:space="preserve"> as the </w:t>
      </w:r>
      <w:r w:rsidR="7FF6AE55">
        <w:rPr>
          <w:b/>
          <w:bCs/>
          <w:kern w:val="2"/>
          <w14:ligatures w14:val="standardContextual"/>
        </w:rPr>
        <w:t xml:space="preserve">main </w:t>
      </w:r>
      <w:r w:rsidR="3A950C86">
        <w:rPr>
          <w:b/>
          <w:bCs/>
          <w:kern w:val="2"/>
          <w14:ligatures w14:val="standardContextual"/>
        </w:rPr>
        <w:t>regulatory oversight body</w:t>
      </w:r>
      <w:r w:rsidRPr="00BC5413">
        <w:rPr>
          <w:b/>
          <w:bCs/>
          <w:kern w:val="2"/>
          <w14:ligatures w14:val="standardContextual"/>
        </w:rPr>
        <w:t>.</w:t>
      </w:r>
      <w:r w:rsidR="00C31B4B">
        <w:rPr>
          <w:rStyle w:val="FootnoteReference"/>
          <w:b/>
          <w:bCs/>
          <w:kern w:val="2"/>
          <w14:ligatures w14:val="standardContextual"/>
        </w:rPr>
        <w:footnoteReference w:id="65"/>
      </w:r>
      <w:r w:rsidRPr="00BC5413">
        <w:rPr>
          <w:b/>
          <w:bCs/>
          <w:kern w:val="2"/>
          <w14:ligatures w14:val="standardContextual"/>
        </w:rPr>
        <w:t xml:space="preserve"> </w:t>
      </w:r>
      <w:r w:rsidRPr="00BC5413">
        <w:rPr>
          <w:kern w:val="2"/>
          <w14:ligatures w14:val="standardContextual"/>
        </w:rPr>
        <w:t xml:space="preserve">Resolution 68 </w:t>
      </w:r>
      <w:r w:rsidR="17E6B8C5">
        <w:rPr>
          <w:kern w:val="2"/>
          <w14:ligatures w14:val="standardContextual"/>
        </w:rPr>
        <w:t xml:space="preserve">clearly </w:t>
      </w:r>
      <w:r w:rsidRPr="00BC5413">
        <w:rPr>
          <w:kern w:val="2"/>
          <w14:ligatures w14:val="standardContextual"/>
        </w:rPr>
        <w:t xml:space="preserve">lays out the roles and responsibilities of government agencies and </w:t>
      </w:r>
      <w:r w:rsidR="17E6B8C5">
        <w:rPr>
          <w:kern w:val="2"/>
          <w14:ligatures w14:val="standardContextual"/>
        </w:rPr>
        <w:t>APCA/OOG</w:t>
      </w:r>
      <w:r w:rsidRPr="00BC5413">
        <w:rPr>
          <w:kern w:val="2"/>
          <w14:ligatures w14:val="standardContextual"/>
        </w:rPr>
        <w:t xml:space="preserve">, as oversight and coordinating entity. </w:t>
      </w:r>
      <w:r w:rsidR="00472FA4">
        <w:rPr>
          <w:kern w:val="2"/>
          <w14:ligatures w14:val="standardContextual"/>
        </w:rPr>
        <w:t xml:space="preserve">The program is under </w:t>
      </w:r>
      <w:r w:rsidR="001C7091">
        <w:rPr>
          <w:kern w:val="2"/>
          <w14:ligatures w14:val="standardContextual"/>
        </w:rPr>
        <w:t xml:space="preserve">the Prime Minister’s </w:t>
      </w:r>
      <w:r w:rsidR="00472FA4">
        <w:rPr>
          <w:kern w:val="2"/>
          <w14:ligatures w14:val="standardContextual"/>
        </w:rPr>
        <w:t>oversight, who</w:t>
      </w:r>
      <w:r w:rsidR="00C85F2F">
        <w:rPr>
          <w:kern w:val="2"/>
          <w14:ligatures w14:val="standardContextual"/>
        </w:rPr>
        <w:t xml:space="preserve"> </w:t>
      </w:r>
      <w:r w:rsidR="001C7091">
        <w:rPr>
          <w:kern w:val="2"/>
          <w14:ligatures w14:val="standardContextual"/>
        </w:rPr>
        <w:t xml:space="preserve">provides directives </w:t>
      </w:r>
      <w:r w:rsidR="004176FB">
        <w:rPr>
          <w:kern w:val="2"/>
          <w14:ligatures w14:val="standardContextual"/>
        </w:rPr>
        <w:t>on</w:t>
      </w:r>
      <w:r w:rsidR="001C7091">
        <w:rPr>
          <w:kern w:val="2"/>
          <w14:ligatures w14:val="standardContextual"/>
        </w:rPr>
        <w:t xml:space="preserve"> regulations </w:t>
      </w:r>
      <w:r w:rsidR="00066283">
        <w:rPr>
          <w:kern w:val="2"/>
          <w14:ligatures w14:val="standardContextual"/>
        </w:rPr>
        <w:t xml:space="preserve">for </w:t>
      </w:r>
      <w:r w:rsidR="00922E11">
        <w:rPr>
          <w:kern w:val="2"/>
          <w14:ligatures w14:val="standardContextual"/>
        </w:rPr>
        <w:t>review, approves</w:t>
      </w:r>
      <w:r w:rsidR="00472FA4">
        <w:rPr>
          <w:kern w:val="2"/>
          <w14:ligatures w14:val="standardContextual"/>
        </w:rPr>
        <w:t xml:space="preserve"> the </w:t>
      </w:r>
      <w:r w:rsidR="00956638">
        <w:rPr>
          <w:kern w:val="2"/>
          <w14:ligatures w14:val="standardContextual"/>
        </w:rPr>
        <w:t xml:space="preserve">reduction and simplification plans, and </w:t>
      </w:r>
      <w:r w:rsidR="00066283">
        <w:rPr>
          <w:kern w:val="2"/>
          <w14:ligatures w14:val="standardContextual"/>
        </w:rPr>
        <w:t xml:space="preserve">monitors implementation. </w:t>
      </w:r>
      <w:r w:rsidR="004966D6">
        <w:rPr>
          <w:kern w:val="2"/>
          <w14:ligatures w14:val="standardContextual"/>
        </w:rPr>
        <w:t xml:space="preserve">The ACAPR </w:t>
      </w:r>
      <w:r w:rsidR="004F1163">
        <w:rPr>
          <w:kern w:val="2"/>
          <w14:ligatures w14:val="standardContextual"/>
        </w:rPr>
        <w:t>provides</w:t>
      </w:r>
      <w:r w:rsidR="00B37704">
        <w:rPr>
          <w:kern w:val="2"/>
          <w14:ligatures w14:val="standardContextual"/>
        </w:rPr>
        <w:t xml:space="preserve"> advice that incorporates private sector views and makes recommendations to the Prime Minister on </w:t>
      </w:r>
      <w:r w:rsidR="00C34F0D">
        <w:rPr>
          <w:kern w:val="2"/>
          <w14:ligatures w14:val="standardContextual"/>
        </w:rPr>
        <w:t xml:space="preserve">ways to </w:t>
      </w:r>
      <w:r w:rsidR="007A273F">
        <w:rPr>
          <w:kern w:val="2"/>
          <w14:ligatures w14:val="standardContextual"/>
        </w:rPr>
        <w:t>streamline business regulations (see</w:t>
      </w:r>
      <w:r w:rsidR="00B97F3D">
        <w:rPr>
          <w:kern w:val="2"/>
          <w14:ligatures w14:val="standardContextual"/>
        </w:rPr>
        <w:t xml:space="preserve"> point 3</w:t>
      </w:r>
      <w:r w:rsidR="00771455">
        <w:rPr>
          <w:kern w:val="2"/>
          <w14:ligatures w14:val="standardContextual"/>
        </w:rPr>
        <w:t xml:space="preserve"> below</w:t>
      </w:r>
      <w:r w:rsidR="00B97F3D">
        <w:rPr>
          <w:kern w:val="2"/>
          <w14:ligatures w14:val="standardContextual"/>
        </w:rPr>
        <w:t xml:space="preserve">). </w:t>
      </w:r>
      <w:r w:rsidRPr="00BC5413">
        <w:rPr>
          <w:kern w:val="2"/>
          <w14:ligatures w14:val="standardContextual"/>
        </w:rPr>
        <w:t xml:space="preserve">In practice, however, there are gaps in implementation (discussed above), which can be attributed to a combination of insufficient resources and accountability mechanisms. </w:t>
      </w:r>
    </w:p>
    <w:p w14:paraId="457DFC27" w14:textId="17AE593D" w:rsidR="00BC5413" w:rsidRPr="00BC5413" w:rsidRDefault="00D62FCC" w:rsidP="00BC5413">
      <w:pPr>
        <w:jc w:val="both"/>
        <w:rPr>
          <w:kern w:val="2"/>
          <w14:ligatures w14:val="standardContextual"/>
        </w:rPr>
      </w:pPr>
      <w:r>
        <w:rPr>
          <w:b/>
          <w:bCs/>
          <w:kern w:val="2"/>
          <w14:ligatures w14:val="standardContextual"/>
        </w:rPr>
        <w:t>Effectiveness and a</w:t>
      </w:r>
      <w:r w:rsidR="00BC5413" w:rsidRPr="00BC5413">
        <w:rPr>
          <w:b/>
          <w:bCs/>
          <w:kern w:val="2"/>
          <w14:ligatures w14:val="standardContextual"/>
        </w:rPr>
        <w:t xml:space="preserve">ccountability </w:t>
      </w:r>
      <w:r w:rsidR="00310F88">
        <w:rPr>
          <w:b/>
          <w:bCs/>
          <w:kern w:val="2"/>
          <w14:ligatures w14:val="standardContextual"/>
        </w:rPr>
        <w:t>could be improved</w:t>
      </w:r>
      <w:r w:rsidR="00BC5413" w:rsidRPr="00BC5413">
        <w:rPr>
          <w:b/>
          <w:bCs/>
          <w:kern w:val="2"/>
          <w14:ligatures w14:val="standardContextual"/>
        </w:rPr>
        <w:t xml:space="preserve"> by having reform plans in </w:t>
      </w:r>
      <w:r w:rsidR="00BC75BB" w:rsidRPr="00BC5413">
        <w:rPr>
          <w:b/>
          <w:bCs/>
          <w:kern w:val="2"/>
          <w14:ligatures w14:val="standardContextual"/>
        </w:rPr>
        <w:t>place and</w:t>
      </w:r>
      <w:r w:rsidR="00BC5413" w:rsidRPr="00BC5413">
        <w:rPr>
          <w:b/>
          <w:bCs/>
          <w:kern w:val="2"/>
          <w14:ligatures w14:val="standardContextual"/>
        </w:rPr>
        <w:t xml:space="preserve"> ensuring their implementation</w:t>
      </w:r>
      <w:r w:rsidR="001D751D">
        <w:rPr>
          <w:b/>
          <w:bCs/>
          <w:kern w:val="2"/>
          <w14:ligatures w14:val="standardContextual"/>
        </w:rPr>
        <w:t>; h</w:t>
      </w:r>
      <w:r w:rsidR="00BC5413" w:rsidRPr="001D751D">
        <w:rPr>
          <w:b/>
          <w:bCs/>
          <w:kern w:val="2"/>
          <w14:ligatures w14:val="standardContextual"/>
        </w:rPr>
        <w:t xml:space="preserve">owever, it seems that while reform plans are prepared and approved, a process for periodically revising them does not exist in all </w:t>
      </w:r>
      <w:r w:rsidR="003772D7">
        <w:rPr>
          <w:b/>
          <w:bCs/>
          <w:kern w:val="2"/>
          <w14:ligatures w14:val="standardContextual"/>
        </w:rPr>
        <w:t xml:space="preserve">ministries and </w:t>
      </w:r>
      <w:r w:rsidR="00BC5413" w:rsidRPr="001D751D">
        <w:rPr>
          <w:b/>
          <w:bCs/>
          <w:kern w:val="2"/>
          <w14:ligatures w14:val="standardContextual"/>
        </w:rPr>
        <w:t>agencies.</w:t>
      </w:r>
      <w:r w:rsidR="00BC5413" w:rsidRPr="00BC5413">
        <w:rPr>
          <w:kern w:val="2"/>
          <w14:ligatures w14:val="standardContextual"/>
        </w:rPr>
        <w:t xml:space="preserve"> Resolution 68 requires that government agencies prepare implementation plans to simplify and reduce business regulations. In practice, </w:t>
      </w:r>
      <w:r w:rsidR="00BE2269">
        <w:rPr>
          <w:kern w:val="2"/>
          <w14:ligatures w14:val="standardContextual"/>
        </w:rPr>
        <w:t>an</w:t>
      </w:r>
      <w:r w:rsidR="002A07F7">
        <w:rPr>
          <w:kern w:val="2"/>
          <w14:ligatures w14:val="standardContextual"/>
        </w:rPr>
        <w:t xml:space="preserve"> </w:t>
      </w:r>
      <w:r w:rsidR="00BE2269">
        <w:rPr>
          <w:kern w:val="2"/>
          <w14:ligatures w14:val="standardContextual"/>
        </w:rPr>
        <w:t>assessment of</w:t>
      </w:r>
      <w:r w:rsidR="00BC5413" w:rsidRPr="00BC5413">
        <w:rPr>
          <w:kern w:val="2"/>
          <w14:ligatures w14:val="standardContextual"/>
        </w:rPr>
        <w:t xml:space="preserve"> three groups of licenses (prepared as background for this study) found that the relevant ministries </w:t>
      </w:r>
      <w:r w:rsidR="003C12ED" w:rsidRPr="00BC5413">
        <w:rPr>
          <w:kern w:val="2"/>
          <w14:ligatures w14:val="standardContextual"/>
        </w:rPr>
        <w:t>h</w:t>
      </w:r>
      <w:r w:rsidR="003C12ED">
        <w:rPr>
          <w:kern w:val="2"/>
          <w14:ligatures w14:val="standardContextual"/>
        </w:rPr>
        <w:t>ad</w:t>
      </w:r>
      <w:r w:rsidR="003C12ED" w:rsidRPr="00BC5413">
        <w:rPr>
          <w:kern w:val="2"/>
          <w14:ligatures w14:val="standardContextual"/>
        </w:rPr>
        <w:t xml:space="preserve"> </w:t>
      </w:r>
      <w:r w:rsidR="00BC5413" w:rsidRPr="00BC5413">
        <w:rPr>
          <w:kern w:val="2"/>
          <w14:ligatures w14:val="standardContextual"/>
        </w:rPr>
        <w:t xml:space="preserve">a general reform strategy and plans for revising licensing activities, </w:t>
      </w:r>
      <w:r w:rsidR="001027E8">
        <w:rPr>
          <w:kern w:val="2"/>
          <w14:ligatures w14:val="standardContextual"/>
        </w:rPr>
        <w:t>but</w:t>
      </w:r>
      <w:r w:rsidR="00BC5413" w:rsidRPr="00BC5413">
        <w:rPr>
          <w:kern w:val="2"/>
          <w14:ligatures w14:val="standardContextual"/>
        </w:rPr>
        <w:t xml:space="preserve"> a clear process for revising these plans was not in place. </w:t>
      </w:r>
    </w:p>
    <w:p w14:paraId="13B89BC0" w14:textId="3AFEB8D9" w:rsidR="4DA8FE4C" w:rsidRDefault="4C175025" w:rsidP="00AA6635">
      <w:pPr>
        <w:spacing w:before="100" w:beforeAutospacing="1" w:after="100" w:afterAutospacing="1"/>
        <w:jc w:val="both"/>
      </w:pPr>
      <w:r w:rsidRPr="00BC5413">
        <w:rPr>
          <w:b/>
          <w:bCs/>
          <w:kern w:val="2"/>
          <w14:ligatures w14:val="standardContextual"/>
        </w:rPr>
        <w:t>Resolution 68 also identifies the need to improve coordination among government agencies</w:t>
      </w:r>
      <w:r w:rsidR="0011690A">
        <w:rPr>
          <w:b/>
          <w:bCs/>
          <w:kern w:val="2"/>
          <w14:ligatures w14:val="standardContextual"/>
        </w:rPr>
        <w:t>,</w:t>
      </w:r>
      <w:r w:rsidR="4FFF6C2E">
        <w:rPr>
          <w:b/>
          <w:bCs/>
          <w:kern w:val="2"/>
          <w14:ligatures w14:val="standardContextual"/>
        </w:rPr>
        <w:t xml:space="preserve"> which </w:t>
      </w:r>
      <w:r w:rsidR="5EC15CAA">
        <w:rPr>
          <w:b/>
          <w:bCs/>
          <w:kern w:val="2"/>
          <w14:ligatures w14:val="standardContextual"/>
        </w:rPr>
        <w:t>i</w:t>
      </w:r>
      <w:r w:rsidR="4FFF6C2E">
        <w:rPr>
          <w:b/>
          <w:bCs/>
          <w:kern w:val="2"/>
          <w14:ligatures w14:val="standardContextual"/>
        </w:rPr>
        <w:t>s important as the BLIMS assessment</w:t>
      </w:r>
      <w:r w:rsidR="4FFF6C2E" w:rsidRPr="00BC5413">
        <w:rPr>
          <w:b/>
          <w:bCs/>
          <w:kern w:val="2"/>
          <w14:ligatures w14:val="standardContextual"/>
        </w:rPr>
        <w:t xml:space="preserve"> </w:t>
      </w:r>
      <w:r w:rsidR="004B4A90">
        <w:rPr>
          <w:b/>
          <w:bCs/>
          <w:kern w:val="2"/>
          <w14:ligatures w14:val="standardContextual"/>
        </w:rPr>
        <w:t>found</w:t>
      </w:r>
      <w:r w:rsidR="004B4A90" w:rsidRPr="00BC5413">
        <w:rPr>
          <w:b/>
          <w:bCs/>
          <w:kern w:val="2"/>
          <w14:ligatures w14:val="standardContextual"/>
        </w:rPr>
        <w:t xml:space="preserve"> </w:t>
      </w:r>
      <w:r w:rsidR="4FFF6C2E">
        <w:rPr>
          <w:b/>
          <w:bCs/>
          <w:kern w:val="2"/>
          <w14:ligatures w14:val="standardContextual"/>
        </w:rPr>
        <w:t>limited</w:t>
      </w:r>
      <w:r w:rsidR="4FFF6C2E" w:rsidRPr="00BC5413">
        <w:rPr>
          <w:b/>
          <w:bCs/>
          <w:kern w:val="2"/>
          <w14:ligatures w14:val="standardContextual"/>
        </w:rPr>
        <w:t xml:space="preserve"> information sharing among licensing agencies in the same fiel</w:t>
      </w:r>
      <w:r w:rsidR="4FFF6C2E">
        <w:rPr>
          <w:b/>
          <w:bCs/>
          <w:kern w:val="2"/>
          <w14:ligatures w14:val="standardContextual"/>
        </w:rPr>
        <w:t>d</w:t>
      </w:r>
      <w:r w:rsidRPr="00BC5413">
        <w:rPr>
          <w:b/>
          <w:bCs/>
          <w:kern w:val="2"/>
          <w14:ligatures w14:val="standardContextual"/>
        </w:rPr>
        <w:t>.</w:t>
      </w:r>
      <w:r w:rsidR="4FFF6C2E" w:rsidRPr="00BC5413">
        <w:rPr>
          <w:b/>
          <w:bCs/>
          <w:kern w:val="2"/>
          <w14:ligatures w14:val="standardContextual"/>
        </w:rPr>
        <w:t xml:space="preserve"> </w:t>
      </w:r>
      <w:r w:rsidR="00F33A86">
        <w:rPr>
          <w:kern w:val="2"/>
          <w14:ligatures w14:val="standardContextual"/>
        </w:rPr>
        <w:t>There</w:t>
      </w:r>
      <w:r w:rsidR="6E064AD2" w:rsidRPr="00BC5413">
        <w:rPr>
          <w:kern w:val="2"/>
          <w14:ligatures w14:val="standardContextual"/>
        </w:rPr>
        <w:t xml:space="preserve"> is not specific mention </w:t>
      </w:r>
      <w:r w:rsidR="5EC15CAA">
        <w:rPr>
          <w:kern w:val="2"/>
          <w14:ligatures w14:val="standardContextual"/>
        </w:rPr>
        <w:t xml:space="preserve">in Resolution 68 </w:t>
      </w:r>
      <w:r w:rsidR="6E064AD2" w:rsidRPr="00BC5413">
        <w:rPr>
          <w:kern w:val="2"/>
          <w14:ligatures w14:val="standardContextual"/>
        </w:rPr>
        <w:t xml:space="preserve">to institutional mechanisms at the technical level to coordinate the review of regulations in sectors or policy areas that require the </w:t>
      </w:r>
      <w:r w:rsidR="6E064AD2" w:rsidRPr="00204FAC">
        <w:rPr>
          <w:kern w:val="2"/>
          <w14:ligatures w14:val="standardContextual"/>
        </w:rPr>
        <w:t xml:space="preserve">involvement of </w:t>
      </w:r>
      <w:r w:rsidR="6E064AD2" w:rsidRPr="00204FAC">
        <w:rPr>
          <w:kern w:val="2"/>
          <w14:ligatures w14:val="standardContextual"/>
        </w:rPr>
        <w:lastRenderedPageBreak/>
        <w:t>multiple agencies (e.g. construction regulations)</w:t>
      </w:r>
      <w:r w:rsidR="4F585D91" w:rsidRPr="00204FAC">
        <w:rPr>
          <w:kern w:val="2"/>
          <w14:ligatures w14:val="standardContextual"/>
        </w:rPr>
        <w:t xml:space="preserve"> and, in practice, c</w:t>
      </w:r>
      <w:r w:rsidR="6E064AD2" w:rsidRPr="00204FAC">
        <w:rPr>
          <w:kern w:val="2"/>
          <w14:ligatures w14:val="standardContextual"/>
        </w:rPr>
        <w:t>oordination is promoted by APCA/OOG, rather than at the initiative of individual agencies</w:t>
      </w:r>
      <w:r w:rsidR="4F585D91" w:rsidRPr="00204FAC">
        <w:rPr>
          <w:kern w:val="2"/>
          <w14:ligatures w14:val="standardContextual"/>
        </w:rPr>
        <w:t>.</w:t>
      </w:r>
      <w:r w:rsidR="6E064AD2" w:rsidRPr="00204FAC">
        <w:rPr>
          <w:kern w:val="2"/>
          <w14:ligatures w14:val="standardContextual"/>
        </w:rPr>
        <w:t xml:space="preserve"> Although the institutional mandates of the line Ministries have been broadly defined, there are still instances where there are overlaps, mainly at the level of sectoral regulations</w:t>
      </w:r>
      <w:r w:rsidR="2C249345" w:rsidRPr="00204FAC">
        <w:rPr>
          <w:kern w:val="2"/>
          <w14:ligatures w14:val="standardContextual"/>
        </w:rPr>
        <w:t>, which would require interagency coordination to be addressed</w:t>
      </w:r>
      <w:r w:rsidR="6E064AD2" w:rsidRPr="00204FAC">
        <w:rPr>
          <w:kern w:val="2"/>
          <w14:ligatures w14:val="standardContextual"/>
        </w:rPr>
        <w:t>.</w:t>
      </w:r>
      <w:r w:rsidR="005D5E4E" w:rsidRPr="00204FAC">
        <w:rPr>
          <w:rStyle w:val="FootnoteReference"/>
          <w:kern w:val="2"/>
          <w14:ligatures w14:val="standardContextual"/>
        </w:rPr>
        <w:footnoteReference w:id="66"/>
      </w:r>
      <w:r w:rsidR="6E064AD2" w:rsidRPr="00204FAC">
        <w:rPr>
          <w:kern w:val="2"/>
          <w14:ligatures w14:val="standardContextual"/>
        </w:rPr>
        <w:t xml:space="preserve"> Information sharing among regulatory agencies is mainly through meetings or reporting mechanisms. There are some positive examples of </w:t>
      </w:r>
      <w:r w:rsidR="6C638E65" w:rsidRPr="00204FAC">
        <w:rPr>
          <w:kern w:val="2"/>
          <w14:ligatures w14:val="standardContextual"/>
        </w:rPr>
        <w:t xml:space="preserve">ongoing </w:t>
      </w:r>
      <w:r w:rsidR="6E064AD2" w:rsidRPr="00204FAC">
        <w:rPr>
          <w:kern w:val="2"/>
          <w14:ligatures w14:val="standardContextual"/>
        </w:rPr>
        <w:t>initiatives to strengthen coordination in specific areas</w:t>
      </w:r>
      <w:r w:rsidR="6E064AD2" w:rsidRPr="00204FAC">
        <w:rPr>
          <w:b/>
          <w:bCs/>
          <w:kern w:val="2"/>
          <w14:ligatures w14:val="standardContextual"/>
        </w:rPr>
        <w:t xml:space="preserve">. </w:t>
      </w:r>
      <w:r w:rsidR="6E064AD2" w:rsidRPr="00204FAC">
        <w:rPr>
          <w:kern w:val="2"/>
          <w14:ligatures w14:val="standardContextual"/>
        </w:rPr>
        <w:t>For example, the Ministry of Industry and Trade has built a national food safety database that connects local government and government agencies, with customized access levels</w:t>
      </w:r>
      <w:r w:rsidR="03B67731" w:rsidRPr="00204FAC">
        <w:rPr>
          <w:kern w:val="2"/>
          <w14:ligatures w14:val="standardContextual"/>
        </w:rPr>
        <w:t xml:space="preserve"> based on the agency’s role</w:t>
      </w:r>
      <w:r w:rsidR="6E064AD2" w:rsidRPr="00204FAC">
        <w:rPr>
          <w:kern w:val="2"/>
          <w14:ligatures w14:val="standardContextual"/>
        </w:rPr>
        <w:t xml:space="preserve">. However, there is currently no funding to operate </w:t>
      </w:r>
      <w:r w:rsidR="000B07B6">
        <w:rPr>
          <w:kern w:val="2"/>
          <w14:ligatures w14:val="standardContextual"/>
        </w:rPr>
        <w:t>it</w:t>
      </w:r>
      <w:r w:rsidR="6E064AD2" w:rsidRPr="00204FAC">
        <w:rPr>
          <w:kern w:val="2"/>
          <w14:ligatures w14:val="standardContextual"/>
        </w:rPr>
        <w:t>. The Ha Noi Department of Industry and Trade also reported plans to build an inter-level and inter-sectoral database, but it has not been implemented yet. Overall, there is room to improve coordination and information sharing.</w:t>
      </w:r>
      <w:r w:rsidR="6E064AD2" w:rsidRPr="00204FAC">
        <w:t xml:space="preserve"> </w:t>
      </w:r>
    </w:p>
    <w:p w14:paraId="5235BF1E" w14:textId="3A661EE7" w:rsidR="00874524" w:rsidRDefault="0641D24D" w:rsidP="7037353D">
      <w:pPr>
        <w:pStyle w:val="Heading3"/>
        <w:spacing w:before="100" w:beforeAutospacing="1" w:after="100" w:afterAutospacing="1"/>
      </w:pPr>
      <w:r>
        <w:t xml:space="preserve">Stakeholder management </w:t>
      </w:r>
    </w:p>
    <w:tbl>
      <w:tblPr>
        <w:tblStyle w:val="TableGrid"/>
        <w:tblW w:w="0" w:type="auto"/>
        <w:tblLook w:val="04A0" w:firstRow="1" w:lastRow="0" w:firstColumn="1" w:lastColumn="0" w:noHBand="0" w:noVBand="1"/>
      </w:tblPr>
      <w:tblGrid>
        <w:gridCol w:w="9350"/>
      </w:tblGrid>
      <w:tr w:rsidR="00F77FAA" w14:paraId="5263D05A" w14:textId="77777777" w:rsidTr="00AA6635">
        <w:tc>
          <w:tcPr>
            <w:tcW w:w="9350" w:type="dxa"/>
            <w:shd w:val="clear" w:color="auto" w:fill="D9E2F3" w:themeFill="accent1" w:themeFillTint="33"/>
          </w:tcPr>
          <w:p w14:paraId="5B7CD8FE" w14:textId="7CDFDE01" w:rsidR="00F77FAA" w:rsidRDefault="00F77FAA" w:rsidP="00F77FAA">
            <w:r>
              <w:t>The key findings from the analysis of stakeholder management include:</w:t>
            </w:r>
          </w:p>
          <w:p w14:paraId="574A0933" w14:textId="798F76E6" w:rsidR="00F77FAA" w:rsidRDefault="003B5DC5" w:rsidP="00307757">
            <w:pPr>
              <w:pStyle w:val="ListParagraph"/>
              <w:numPr>
                <w:ilvl w:val="0"/>
                <w:numId w:val="32"/>
              </w:numPr>
            </w:pPr>
            <w:r w:rsidRPr="003B5DC5">
              <w:t>Resolution 68 emphasizes the role of dialogue and feedback from firms and individuals</w:t>
            </w:r>
            <w:r w:rsidR="00FF4132">
              <w:t xml:space="preserve"> with </w:t>
            </w:r>
            <w:r w:rsidR="00221581">
              <w:t>a streng</w:t>
            </w:r>
            <w:r w:rsidR="00C43749">
              <w:t xml:space="preserve">thened structure and role of </w:t>
            </w:r>
            <w:r w:rsidR="00221581">
              <w:t>ACAPR</w:t>
            </w:r>
            <w:r w:rsidR="00C43749">
              <w:t>.</w:t>
            </w:r>
          </w:p>
          <w:p w14:paraId="69390ECF" w14:textId="1A5DF05A" w:rsidR="00C43749" w:rsidRDefault="009731BB" w:rsidP="00307757">
            <w:pPr>
              <w:pStyle w:val="ListParagraph"/>
              <w:numPr>
                <w:ilvl w:val="0"/>
                <w:numId w:val="32"/>
              </w:numPr>
            </w:pPr>
            <w:r>
              <w:t>G</w:t>
            </w:r>
            <w:r w:rsidRPr="009731BB">
              <w:t>ood practice principles on public consultations</w:t>
            </w:r>
            <w:r>
              <w:t xml:space="preserve"> are adopted</w:t>
            </w:r>
            <w:r w:rsidRPr="009731BB">
              <w:t xml:space="preserve">, </w:t>
            </w:r>
            <w:r w:rsidR="00F809A5">
              <w:t xml:space="preserve">and </w:t>
            </w:r>
            <w:r w:rsidR="001C65B0">
              <w:t xml:space="preserve">a central online consultation portal has been developed, </w:t>
            </w:r>
            <w:r w:rsidR="00F809A5">
              <w:t xml:space="preserve">but </w:t>
            </w:r>
            <w:r w:rsidRPr="009731BB">
              <w:t>application presents some challenges</w:t>
            </w:r>
            <w:r w:rsidR="00F809A5">
              <w:t>.</w:t>
            </w:r>
          </w:p>
          <w:p w14:paraId="7CCCA85C" w14:textId="77777777" w:rsidR="00F77FAA" w:rsidRDefault="00F77FAA" w:rsidP="4DA8FE4C">
            <w:pPr>
              <w:jc w:val="both"/>
              <w:rPr>
                <w:b/>
                <w:bCs/>
              </w:rPr>
            </w:pPr>
          </w:p>
        </w:tc>
      </w:tr>
    </w:tbl>
    <w:p w14:paraId="5BEF8D13" w14:textId="192D4F9C" w:rsidR="4DA8FE4C" w:rsidRDefault="4DA8FE4C" w:rsidP="4DA8FE4C">
      <w:pPr>
        <w:jc w:val="both"/>
        <w:rPr>
          <w:b/>
          <w:bCs/>
        </w:rPr>
      </w:pPr>
    </w:p>
    <w:p w14:paraId="4AEFE03C" w14:textId="471F8FA9" w:rsidR="00740EE6" w:rsidRPr="00CC2EC6" w:rsidRDefault="6D079D45" w:rsidP="00874524">
      <w:pPr>
        <w:jc w:val="both"/>
        <w:rPr>
          <w:b/>
          <w:bCs/>
        </w:rPr>
      </w:pPr>
      <w:r>
        <w:rPr>
          <w:b/>
          <w:bCs/>
        </w:rPr>
        <w:t>Resolution 68 emphasizes the role of dialogue and feedback from firms and individuals to identify regulations that pose difficulties to businesses</w:t>
      </w:r>
      <w:r w:rsidR="4C24DA40">
        <w:rPr>
          <w:b/>
          <w:bCs/>
        </w:rPr>
        <w:t xml:space="preserve"> and the</w:t>
      </w:r>
      <w:r w:rsidR="62A9CEB8">
        <w:rPr>
          <w:b/>
          <w:bCs/>
        </w:rPr>
        <w:t>re are</w:t>
      </w:r>
      <w:r w:rsidR="4C24DA40">
        <w:rPr>
          <w:b/>
          <w:bCs/>
        </w:rPr>
        <w:t xml:space="preserve"> mechanisms to enable it</w:t>
      </w:r>
      <w:r>
        <w:rPr>
          <w:b/>
          <w:bCs/>
        </w:rPr>
        <w:t xml:space="preserve">. </w:t>
      </w:r>
      <w:r w:rsidRPr="00EA6FFD">
        <w:t xml:space="preserve">The private sector is </w:t>
      </w:r>
      <w:r>
        <w:t xml:space="preserve">mainly </w:t>
      </w:r>
      <w:r w:rsidRPr="00EA6FFD">
        <w:t xml:space="preserve">involved in the regulatory reform process through the ACAPR, which </w:t>
      </w:r>
      <w:r w:rsidRPr="00CC2EC6">
        <w:t>coordinates private sector inputs on the business regulations proposed for reform and the overall implementation of the program under Resolution 68</w:t>
      </w:r>
      <w:r w:rsidR="472B7611">
        <w:t>.</w:t>
      </w:r>
      <w:r>
        <w:t xml:space="preserve"> The ACAPR, is a public-private body set up in the context of </w:t>
      </w:r>
      <w:r w:rsidR="00616580">
        <w:t>Project</w:t>
      </w:r>
      <w:r w:rsidRPr="00FB4CC5">
        <w:t xml:space="preserve"> 30 and reinforced in 20</w:t>
      </w:r>
      <w:r w:rsidR="0F864B29">
        <w:t xml:space="preserve">23, and its members meet monthly to </w:t>
      </w:r>
      <w:r w:rsidR="0570B359">
        <w:t>share opinion and feedback on regulations</w:t>
      </w:r>
      <w:r w:rsidRPr="00FB4CC5">
        <w:t>.</w:t>
      </w:r>
      <w:r w:rsidR="00740EE6" w:rsidRPr="00FB4CC5">
        <w:rPr>
          <w:rStyle w:val="FootnoteReference"/>
        </w:rPr>
        <w:footnoteReference w:id="67"/>
      </w:r>
      <w:r w:rsidRPr="00FB4CC5">
        <w:t xml:space="preserve"> The role of the ACAPR was further strengthened by the Prime Minister Directive No</w:t>
      </w:r>
      <w:r>
        <w:t xml:space="preserve">. </w:t>
      </w:r>
      <w:r w:rsidRPr="00FD4710">
        <w:t xml:space="preserve">27/CT-TTg </w:t>
      </w:r>
      <w:r>
        <w:t xml:space="preserve">of </w:t>
      </w:r>
      <w:r w:rsidRPr="00FD4710">
        <w:t>2023</w:t>
      </w:r>
      <w:r>
        <w:t>, which directed the ACAPR to “</w:t>
      </w:r>
      <w:r w:rsidRPr="15E5BA73">
        <w:rPr>
          <w:i/>
          <w:iCs/>
        </w:rPr>
        <w:t>to closely follow reality, listen to and receive sufficient information, grasp the difficulties and problems of people and enterprises, send the Prime Minister's Working Group for Administrative Procedure Reform for advice, urge, inspect and direct to promote the removal of obstacles and correction of timely and effective handling of violations.</w:t>
      </w:r>
      <w:r>
        <w:t xml:space="preserve">” The Director of APCA is Permanent Vice-Chairman and Secretary General, and the Heads of the Viet Nam Chamber of Commerce and Industry (VCCI) and Association of </w:t>
      </w:r>
      <w:r w:rsidR="65432A7E">
        <w:t>S</w:t>
      </w:r>
      <w:r w:rsidR="3E322B3C">
        <w:t xml:space="preserve">mall and </w:t>
      </w:r>
      <w:r w:rsidR="65432A7E">
        <w:t>M</w:t>
      </w:r>
      <w:r w:rsidR="3E322B3C">
        <w:t xml:space="preserve">edium </w:t>
      </w:r>
      <w:r w:rsidR="65432A7E">
        <w:t>E</w:t>
      </w:r>
      <w:r w:rsidR="3E322B3C">
        <w:t xml:space="preserve">nterprises </w:t>
      </w:r>
      <w:r>
        <w:t>are other two Vice-Chairm</w:t>
      </w:r>
      <w:r w:rsidR="6CC42B02">
        <w:t>e</w:t>
      </w:r>
      <w:r>
        <w:t xml:space="preserve">n of ACAPR. </w:t>
      </w:r>
      <w:r w:rsidRPr="00EA6FFD">
        <w:t>The</w:t>
      </w:r>
      <w:r w:rsidRPr="008C6C4D">
        <w:t xml:space="preserve"> private sector was consulted on the content of Resolution 68 and </w:t>
      </w:r>
      <w:r>
        <w:t>supported its objectives</w:t>
      </w:r>
      <w:r w:rsidRPr="008C6C4D">
        <w:t>.</w:t>
      </w:r>
      <w:r w:rsidR="00740EE6" w:rsidRPr="008C6C4D">
        <w:rPr>
          <w:rStyle w:val="FootnoteReference"/>
        </w:rPr>
        <w:footnoteReference w:id="68"/>
      </w:r>
      <w:r w:rsidR="476CC004">
        <w:t xml:space="preserve"> </w:t>
      </w:r>
      <w:r w:rsidR="26F198D6">
        <w:t xml:space="preserve">To make </w:t>
      </w:r>
      <w:r w:rsidR="56AAB99C">
        <w:t>a more</w:t>
      </w:r>
      <w:r w:rsidR="26F198D6">
        <w:t xml:space="preserve"> meaningful contribution to the </w:t>
      </w:r>
      <w:r w:rsidR="152301C2">
        <w:t>implementation</w:t>
      </w:r>
      <w:r w:rsidR="1FB11CF6">
        <w:t xml:space="preserve"> of Resolution 68, </w:t>
      </w:r>
      <w:r w:rsidR="26F198D6">
        <w:t xml:space="preserve">ACAPR could </w:t>
      </w:r>
      <w:r w:rsidR="6217CCFB">
        <w:t>conduct more independent review</w:t>
      </w:r>
      <w:r w:rsidR="64EE8D52">
        <w:t>s</w:t>
      </w:r>
      <w:r w:rsidR="6217CCFB">
        <w:t xml:space="preserve"> of regulations and provide feedback and </w:t>
      </w:r>
      <w:r w:rsidR="7D128F1B">
        <w:t>proposals</w:t>
      </w:r>
      <w:r w:rsidR="6217CCFB">
        <w:t xml:space="preserve"> for reforms</w:t>
      </w:r>
      <w:r w:rsidR="1B89CDEA">
        <w:t xml:space="preserve"> as mentioned in the Resolution. </w:t>
      </w:r>
    </w:p>
    <w:p w14:paraId="6F7A462B" w14:textId="15F62E83" w:rsidR="00740EE6" w:rsidRDefault="6D079D45" w:rsidP="00740EE6">
      <w:pPr>
        <w:jc w:val="both"/>
      </w:pPr>
      <w:r w:rsidRPr="00CF0FB4">
        <w:rPr>
          <w:b/>
          <w:bCs/>
        </w:rPr>
        <w:lastRenderedPageBreak/>
        <w:t>Viet Nam’s legal framework integrates good practice principles on public consultations</w:t>
      </w:r>
      <w:r>
        <w:rPr>
          <w:b/>
          <w:bCs/>
        </w:rPr>
        <w:t>, although its application presents some challenges</w:t>
      </w:r>
      <w:r w:rsidRPr="00CF0FB4">
        <w:rPr>
          <w:b/>
          <w:bCs/>
        </w:rPr>
        <w:t>.</w:t>
      </w:r>
      <w:r w:rsidR="00740EE6" w:rsidRPr="00CF0FB4">
        <w:rPr>
          <w:rStyle w:val="FootnoteReference"/>
          <w:b/>
          <w:bCs/>
        </w:rPr>
        <w:footnoteReference w:id="69"/>
      </w:r>
      <w:r>
        <w:t xml:space="preserve"> The Law on Laws establishes the obligation by the drafting agency to collect opinions from other government agencies, organizations, and individuals and to hold consultations with parties affected by the proposed legal document. It also requires </w:t>
      </w:r>
      <w:r w:rsidR="4D659B01">
        <w:t>a public</w:t>
      </w:r>
      <w:r>
        <w:t xml:space="preserve"> consultation period of </w:t>
      </w:r>
      <w:bookmarkStart w:id="17" w:name="_Int_ljuMQa8q"/>
      <w:r>
        <w:t>60 days</w:t>
      </w:r>
      <w:bookmarkEnd w:id="17"/>
      <w:r>
        <w:t xml:space="preserve"> on draft legal documents and gives the VCCI </w:t>
      </w:r>
      <w:bookmarkStart w:id="18" w:name="_Int_zGy25E11"/>
      <w:r>
        <w:t>20 days</w:t>
      </w:r>
      <w:bookmarkEnd w:id="18"/>
      <w:r>
        <w:t xml:space="preserve"> to comment</w:t>
      </w:r>
      <w:r w:rsidRPr="00774072">
        <w:t xml:space="preserve"> </w:t>
      </w:r>
      <w:r>
        <w:t>on draft business regulations. With regards to administrative procedures, APCA has 20 days to collect feedback from stakeholders and submit it to the drafting agency.</w:t>
      </w:r>
      <w:r w:rsidR="00740EE6">
        <w:rPr>
          <w:rStyle w:val="FootnoteReference"/>
        </w:rPr>
        <w:footnoteReference w:id="70"/>
      </w:r>
      <w:r>
        <w:t xml:space="preserve"> While consultations do take place in practice, </w:t>
      </w:r>
      <w:r w:rsidR="0521CDEF">
        <w:t xml:space="preserve">private sector representatives </w:t>
      </w:r>
      <w:r w:rsidR="3EA0C843">
        <w:t>consulted</w:t>
      </w:r>
      <w:r w:rsidR="49761559">
        <w:t xml:space="preserve"> for this study</w:t>
      </w:r>
      <w:r w:rsidR="3EA0C843">
        <w:t xml:space="preserve"> reported that </w:t>
      </w:r>
      <w:r>
        <w:t xml:space="preserve">the timeframes for the private sector to provide feedback on regulatory changes are sometimes not respected, and there is often no response to the feedback provided or explanation on how the draft regulation was adjusted to reflect that feedback. </w:t>
      </w:r>
    </w:p>
    <w:p w14:paraId="40E2E0CC" w14:textId="1222630F" w:rsidR="00740EE6" w:rsidRDefault="6D079D45" w:rsidP="00740EE6">
      <w:pPr>
        <w:jc w:val="both"/>
      </w:pPr>
      <w:r w:rsidRPr="002D791D">
        <w:rPr>
          <w:b/>
          <w:bCs/>
        </w:rPr>
        <w:t xml:space="preserve">In the context of Resolution 68, APCA developed the </w:t>
      </w:r>
      <w:r w:rsidR="322B179C" w:rsidRPr="001B1A9E">
        <w:rPr>
          <w:b/>
          <w:bCs/>
        </w:rPr>
        <w:t xml:space="preserve">Business Regulations </w:t>
      </w:r>
      <w:r w:rsidR="664030BE" w:rsidRPr="001B1A9E">
        <w:rPr>
          <w:b/>
          <w:bCs/>
        </w:rPr>
        <w:t xml:space="preserve">Consultation and </w:t>
      </w:r>
      <w:r w:rsidR="322B179C" w:rsidRPr="001B1A9E">
        <w:rPr>
          <w:b/>
          <w:bCs/>
        </w:rPr>
        <w:t>Query Portal</w:t>
      </w:r>
      <w:r w:rsidRPr="002D791D">
        <w:rPr>
          <w:b/>
          <w:bCs/>
        </w:rPr>
        <w:t>,</w:t>
      </w:r>
      <w:r w:rsidR="00740EE6">
        <w:rPr>
          <w:rStyle w:val="FootnoteReference"/>
          <w:b/>
          <w:bCs/>
        </w:rPr>
        <w:footnoteReference w:id="71"/>
      </w:r>
      <w:r w:rsidRPr="002D791D">
        <w:rPr>
          <w:b/>
          <w:bCs/>
        </w:rPr>
        <w:t xml:space="preserve"> which centralizes information on existing, proposed, and amended business regulations.</w:t>
      </w:r>
      <w:r>
        <w:t xml:space="preserve"> The portal was launched in </w:t>
      </w:r>
      <w:r w:rsidRPr="0064533A">
        <w:t>2021</w:t>
      </w:r>
      <w:r>
        <w:t xml:space="preserve"> as a platform to allow interaction between government agencies, businesses, and the public. It allows searching for existing business regulations, </w:t>
      </w:r>
      <w:r w:rsidR="7EA2704F">
        <w:t>providing</w:t>
      </w:r>
      <w:r>
        <w:t xml:space="preserve"> comments on </w:t>
      </w:r>
      <w:r w:rsidR="54053913">
        <w:t xml:space="preserve">existing or </w:t>
      </w:r>
      <w:r>
        <w:t>proposed business regulations and reform plans, and send</w:t>
      </w:r>
      <w:r w:rsidR="72B85C50">
        <w:t>ing</w:t>
      </w:r>
      <w:r>
        <w:t xml:space="preserve"> questions and suggestions related to business regulations. As of January 2024, there were </w:t>
      </w:r>
      <w:r w:rsidR="564A2402">
        <w:t>about 15,000 business regulations</w:t>
      </w:r>
      <w:r>
        <w:t xml:space="preserve"> in the consultation portal, </w:t>
      </w:r>
      <w:r w:rsidR="564A2402">
        <w:t>including</w:t>
      </w:r>
      <w:r>
        <w:t xml:space="preserve"> </w:t>
      </w:r>
      <w:r w:rsidR="564A2402">
        <w:t>existing</w:t>
      </w:r>
      <w:r w:rsidR="4F62EEA4">
        <w:t xml:space="preserve"> and </w:t>
      </w:r>
      <w:r>
        <w:t>proposed. The information depends on the inputs of government agencies, but not all</w:t>
      </w:r>
      <w:r w:rsidR="144670BE">
        <w:t xml:space="preserve"> </w:t>
      </w:r>
      <w:r w:rsidR="420C99CF">
        <w:t>m</w:t>
      </w:r>
      <w:r w:rsidR="144670BE">
        <w:t>inistries</w:t>
      </w:r>
      <w:r>
        <w:t xml:space="preserve"> have provided the full set of business regulations under their jurisdiction.   </w:t>
      </w:r>
    </w:p>
    <w:p w14:paraId="519EEDA6" w14:textId="2F1BCCDE" w:rsidR="00662765" w:rsidRDefault="6D079D45" w:rsidP="00B5385C">
      <w:pPr>
        <w:jc w:val="both"/>
      </w:pPr>
      <w:r>
        <w:rPr>
          <w:b/>
          <w:bCs/>
        </w:rPr>
        <w:t>G</w:t>
      </w:r>
      <w:r w:rsidRPr="0015098B">
        <w:rPr>
          <w:b/>
          <w:bCs/>
        </w:rPr>
        <w:t xml:space="preserve">overnment agencies at the central and local level </w:t>
      </w:r>
      <w:r>
        <w:rPr>
          <w:b/>
          <w:bCs/>
        </w:rPr>
        <w:t xml:space="preserve">use additional channels </w:t>
      </w:r>
      <w:r w:rsidRPr="0015098B">
        <w:rPr>
          <w:b/>
          <w:bCs/>
        </w:rPr>
        <w:t>to share information and gather inputs from stakeholders</w:t>
      </w:r>
      <w:r>
        <w:rPr>
          <w:b/>
          <w:bCs/>
        </w:rPr>
        <w:t xml:space="preserve"> on business regulations</w:t>
      </w:r>
      <w:r w:rsidRPr="0015098B">
        <w:rPr>
          <w:b/>
          <w:bCs/>
        </w:rPr>
        <w:t>.</w:t>
      </w:r>
      <w:r>
        <w:t xml:space="preserve"> These include business fora, </w:t>
      </w:r>
      <w:r w:rsidR="00FA645F">
        <w:t xml:space="preserve">also </w:t>
      </w:r>
      <w:r>
        <w:t>at a high level,</w:t>
      </w:r>
      <w:r w:rsidR="00740EE6">
        <w:rPr>
          <w:rStyle w:val="FootnoteReference"/>
        </w:rPr>
        <w:footnoteReference w:id="72"/>
      </w:r>
      <w:r>
        <w:t xml:space="preserve"> as well as the agencies’ own websites, email, and hotlines. </w:t>
      </w:r>
      <w:r w:rsidR="7398FB7D">
        <w:t>Resources and capacity</w:t>
      </w:r>
      <w:r w:rsidR="5AFCB121">
        <w:t xml:space="preserve"> to respond to the feedback </w:t>
      </w:r>
      <w:r w:rsidR="46C609EC">
        <w:t>vary across agencies.</w:t>
      </w:r>
      <w:r w:rsidR="7886E718">
        <w:t xml:space="preserve"> However, </w:t>
      </w:r>
      <w:r w:rsidR="7172C2DF">
        <w:t xml:space="preserve">business representatives report that </w:t>
      </w:r>
      <w:r w:rsidR="4592DD6F">
        <w:t>feedback mechanisms, both online and offline</w:t>
      </w:r>
      <w:r w:rsidR="1E7BDFFB">
        <w:t>,</w:t>
      </w:r>
      <w:r w:rsidR="4592DD6F">
        <w:t xml:space="preserve"> are </w:t>
      </w:r>
      <w:r w:rsidR="1E7BDFFB">
        <w:t xml:space="preserve">not </w:t>
      </w:r>
      <w:r w:rsidR="006E2138">
        <w:t xml:space="preserve">always </w:t>
      </w:r>
      <w:r w:rsidR="1E7BDFFB">
        <w:t xml:space="preserve">effective since they have little time to give feedback and they do not know if their feedback </w:t>
      </w:r>
      <w:r w:rsidR="0BB1909F">
        <w:t>and proposals are accepted or not. The use of a centrally managed consultation portal like the Business Regulations Consultation and Query Portal can be seen as a</w:t>
      </w:r>
      <w:r w:rsidR="02DFE69E">
        <w:t xml:space="preserve"> response to the</w:t>
      </w:r>
      <w:r w:rsidR="00310A1E">
        <w:t>se</w:t>
      </w:r>
      <w:r w:rsidR="02DFE69E">
        <w:t xml:space="preserve"> weakness</w:t>
      </w:r>
      <w:r w:rsidR="00310A1E">
        <w:t>es</w:t>
      </w:r>
      <w:r w:rsidR="02DFE69E">
        <w:t xml:space="preserve">. </w:t>
      </w:r>
    </w:p>
    <w:p w14:paraId="543EB449" w14:textId="5E3DFBE9" w:rsidR="00DF56AF" w:rsidRDefault="29A616B0" w:rsidP="7037353D">
      <w:pPr>
        <w:pStyle w:val="Heading3"/>
        <w:spacing w:before="100" w:beforeAutospacing="1" w:after="100" w:afterAutospacing="1"/>
      </w:pPr>
      <w:r>
        <w:t xml:space="preserve">Technical Capacity and Resources </w:t>
      </w:r>
    </w:p>
    <w:tbl>
      <w:tblPr>
        <w:tblStyle w:val="TableGrid"/>
        <w:tblW w:w="0" w:type="auto"/>
        <w:tblLook w:val="04A0" w:firstRow="1" w:lastRow="0" w:firstColumn="1" w:lastColumn="0" w:noHBand="0" w:noVBand="1"/>
      </w:tblPr>
      <w:tblGrid>
        <w:gridCol w:w="9350"/>
      </w:tblGrid>
      <w:tr w:rsidR="00D87AE3" w14:paraId="543DBE5F" w14:textId="77777777" w:rsidTr="00AA6635">
        <w:tc>
          <w:tcPr>
            <w:tcW w:w="9350" w:type="dxa"/>
            <w:shd w:val="clear" w:color="auto" w:fill="D9E2F3" w:themeFill="accent1" w:themeFillTint="33"/>
          </w:tcPr>
          <w:p w14:paraId="5D890D85" w14:textId="07A47E16" w:rsidR="00D87AE3" w:rsidRDefault="00D87AE3">
            <w:r>
              <w:t xml:space="preserve">The key findings from the analysis of </w:t>
            </w:r>
            <w:r w:rsidR="776E4726">
              <w:t>technical capacity and resources</w:t>
            </w:r>
            <w:r>
              <w:t xml:space="preserve"> include:</w:t>
            </w:r>
          </w:p>
          <w:p w14:paraId="6DD88C9E" w14:textId="59A5DDE6" w:rsidR="00D87AE3" w:rsidRDefault="6D4F2678" w:rsidP="00D87AE3">
            <w:pPr>
              <w:pStyle w:val="ListParagraph"/>
              <w:numPr>
                <w:ilvl w:val="0"/>
                <w:numId w:val="32"/>
              </w:numPr>
            </w:pPr>
            <w:r>
              <w:t>There are dedicated resources and tools for</w:t>
            </w:r>
            <w:r w:rsidR="5B355D12">
              <w:t xml:space="preserve"> implementing regulatory </w:t>
            </w:r>
            <w:r w:rsidR="7E6EA0FE">
              <w:t xml:space="preserve">reform </w:t>
            </w:r>
            <w:r w:rsidR="5B355D12">
              <w:t xml:space="preserve">tasks </w:t>
            </w:r>
            <w:r w:rsidR="69D5DFD1">
              <w:t>under</w:t>
            </w:r>
            <w:r w:rsidR="49382D5D">
              <w:t xml:space="preserve"> Resolution</w:t>
            </w:r>
            <w:r>
              <w:t xml:space="preserve"> 68</w:t>
            </w:r>
            <w:r w:rsidR="4E178709">
              <w:t xml:space="preserve"> </w:t>
            </w:r>
            <w:r w:rsidR="0721EFC6">
              <w:t>and other reform initiatives</w:t>
            </w:r>
            <w:r>
              <w:t>, but there are some indications of stretched implementation capacity.</w:t>
            </w:r>
          </w:p>
          <w:p w14:paraId="50B89520" w14:textId="77777777" w:rsidR="00D87AE3" w:rsidRDefault="00D87AE3" w:rsidP="00166F9E">
            <w:pPr>
              <w:jc w:val="both"/>
              <w:rPr>
                <w:b/>
                <w:bCs/>
              </w:rPr>
            </w:pPr>
          </w:p>
        </w:tc>
      </w:tr>
    </w:tbl>
    <w:p w14:paraId="61C91FCF" w14:textId="77777777" w:rsidR="00D87AE3" w:rsidRDefault="00D87AE3" w:rsidP="00166F9E">
      <w:pPr>
        <w:jc w:val="both"/>
        <w:rPr>
          <w:b/>
          <w:bCs/>
        </w:rPr>
      </w:pPr>
    </w:p>
    <w:p w14:paraId="708F44B6" w14:textId="4A2476B9" w:rsidR="00166F9E" w:rsidRDefault="528A32AF" w:rsidP="00166F9E">
      <w:pPr>
        <w:jc w:val="both"/>
      </w:pPr>
      <w:r w:rsidRPr="000278A7">
        <w:rPr>
          <w:b/>
          <w:bCs/>
        </w:rPr>
        <w:t>Successful implementation of the regulatory reform program laid out in Resolution 68 requires substantial technical capacity and resources.</w:t>
      </w:r>
      <w:r>
        <w:t xml:space="preserve"> Globally, capacity constraints undermine the </w:t>
      </w:r>
      <w:r>
        <w:lastRenderedPageBreak/>
        <w:t>implementation of regulatory practices and the adoption of risk-based approaches to regulation.</w:t>
      </w:r>
      <w:r w:rsidR="00166F9E">
        <w:rPr>
          <w:rStyle w:val="FootnoteReference"/>
        </w:rPr>
        <w:footnoteReference w:id="73"/>
      </w:r>
      <w:r>
        <w:t xml:space="preserve"> Reviewing regulations, calculating compliance costs, preparing </w:t>
      </w:r>
      <w:r w:rsidR="00663A97">
        <w:t>regulatory impact assessments</w:t>
      </w:r>
      <w:r>
        <w:t xml:space="preserve"> </w:t>
      </w:r>
      <w:r w:rsidR="00663A97">
        <w:t>(</w:t>
      </w:r>
      <w:r>
        <w:t>RIAs</w:t>
      </w:r>
      <w:r w:rsidR="00663A97">
        <w:t>)</w:t>
      </w:r>
      <w:r>
        <w:t>, and developing digital G2B services are technically demanding and time-consuming. Over the last two decades, the government of Viet Nam through the APCA</w:t>
      </w:r>
      <w:r w:rsidR="2E25941E">
        <w:t>/OOG</w:t>
      </w:r>
      <w:r w:rsidR="6E402D57">
        <w:t>,</w:t>
      </w:r>
      <w:r>
        <w:t xml:space="preserve"> has invested substantial resources in developing its capacity, and that of government agencies on good regulatory practices, including with support from development partners and learning from international experience.</w:t>
      </w:r>
      <w:r w:rsidR="00166F9E">
        <w:rPr>
          <w:rStyle w:val="FootnoteReference"/>
        </w:rPr>
        <w:footnoteReference w:id="74"/>
      </w:r>
      <w:r>
        <w:t xml:space="preserve"> </w:t>
      </w:r>
    </w:p>
    <w:p w14:paraId="434BED22" w14:textId="7B5259C7" w:rsidR="00166F9E" w:rsidRDefault="003B3CFB" w:rsidP="00166F9E">
      <w:pPr>
        <w:jc w:val="both"/>
      </w:pPr>
      <w:r>
        <w:rPr>
          <w:b/>
          <w:bCs/>
        </w:rPr>
        <w:t>T</w:t>
      </w:r>
      <w:r w:rsidR="528A32AF" w:rsidRPr="00DC6C4A">
        <w:rPr>
          <w:b/>
          <w:bCs/>
        </w:rPr>
        <w:t>here are some indications of stretched implementation capacity.</w:t>
      </w:r>
      <w:r w:rsidR="528A32AF">
        <w:t xml:space="preserve"> </w:t>
      </w:r>
      <w:r w:rsidR="007E07CA" w:rsidRPr="00C27879">
        <w:t>The technical units implementing the program, both at the center of government and at the ministries and provinces</w:t>
      </w:r>
      <w:r w:rsidR="006765E1">
        <w:t>,</w:t>
      </w:r>
      <w:r w:rsidR="007E07CA">
        <w:rPr>
          <w:rStyle w:val="cf01"/>
        </w:rPr>
        <w:t xml:space="preserve"> </w:t>
      </w:r>
      <w:r w:rsidR="007E07CA" w:rsidRPr="00C27879">
        <w:t>have small teams considering their scope of work: reviewing draft legal documents, calculations on compliance costs, publication of new administrative procedures, digitalizing public services, reporting and other related tasks.</w:t>
      </w:r>
      <w:r w:rsidR="009D4FA9">
        <w:t xml:space="preserve"> </w:t>
      </w:r>
      <w:r w:rsidR="528A32AF">
        <w:t>APCA</w:t>
      </w:r>
      <w:r w:rsidR="2B5E2A99">
        <w:t>/OOG</w:t>
      </w:r>
      <w:r w:rsidR="528A32AF">
        <w:t xml:space="preserve"> offers regular training to these officials on all </w:t>
      </w:r>
      <w:r w:rsidR="41E4E268">
        <w:t xml:space="preserve">regulatory </w:t>
      </w:r>
      <w:r w:rsidR="528A32AF">
        <w:t xml:space="preserve">aspects </w:t>
      </w:r>
      <w:r w:rsidR="008959EA">
        <w:t>and provided technical guidelines</w:t>
      </w:r>
      <w:r w:rsidR="528A32AF">
        <w:t xml:space="preserve">. However, not all </w:t>
      </w:r>
      <w:r w:rsidR="00B50AF0">
        <w:t xml:space="preserve">agencies </w:t>
      </w:r>
      <w:r w:rsidR="528A32AF">
        <w:t>have been able to comply with the requirements of Resolution 68 and the quality of compliance costs calculations is uneven. Moreover, there are opportunities to improve the quality of RIAs, a common challenge across emerging economies.</w:t>
      </w:r>
      <w:r w:rsidR="002D4EB1">
        <w:rPr>
          <w:rStyle w:val="FootnoteReference"/>
        </w:rPr>
        <w:footnoteReference w:id="75"/>
      </w:r>
      <w:r w:rsidR="0010504A">
        <w:rPr>
          <w:rStyle w:val="FootnoteReference"/>
        </w:rPr>
        <w:footnoteReference w:id="76"/>
      </w:r>
      <w:r w:rsidR="528A32AF">
        <w:t xml:space="preserve"> </w:t>
      </w:r>
      <w:r w:rsidR="7190F036">
        <w:t xml:space="preserve">Previous reform experience suggests that more achievements can be made if APCA/OOG </w:t>
      </w:r>
      <w:r w:rsidR="00A15035">
        <w:t>receives</w:t>
      </w:r>
      <w:r w:rsidR="7190F036">
        <w:t xml:space="preserve"> </w:t>
      </w:r>
      <w:r w:rsidR="00D84959">
        <w:t xml:space="preserve">more </w:t>
      </w:r>
      <w:r w:rsidR="7190F036">
        <w:t xml:space="preserve">technical support from development partners and </w:t>
      </w:r>
      <w:r w:rsidR="63778C82">
        <w:t>the business community</w:t>
      </w:r>
      <w:r w:rsidR="00AB6F9F">
        <w:t>.</w:t>
      </w:r>
      <w:r w:rsidR="00AB6F9F">
        <w:rPr>
          <w:rStyle w:val="FootnoteReference"/>
        </w:rPr>
        <w:footnoteReference w:id="77"/>
      </w:r>
      <w:r w:rsidR="63778C82">
        <w:t xml:space="preserve"> </w:t>
      </w:r>
      <w:r w:rsidR="008E0838">
        <w:t xml:space="preserve">Project 30 </w:t>
      </w:r>
      <w:r w:rsidR="003B6FD7">
        <w:t xml:space="preserve">experience suggests that participation of private sector experts in regulatory review taskforce is also an important </w:t>
      </w:r>
      <w:r w:rsidR="00BE38BF">
        <w:t xml:space="preserve">success </w:t>
      </w:r>
      <w:r w:rsidR="003B6FD7">
        <w:t>factor</w:t>
      </w:r>
      <w:r w:rsidR="00BE38BF">
        <w:t>.</w:t>
      </w:r>
      <w:r w:rsidR="00ED6133">
        <w:rPr>
          <w:rStyle w:val="FootnoteReference"/>
        </w:rPr>
        <w:footnoteReference w:id="78"/>
      </w:r>
    </w:p>
    <w:p w14:paraId="52D5044C" w14:textId="6A3A176F" w:rsidR="00166F9E" w:rsidRPr="00075355" w:rsidRDefault="00166F9E" w:rsidP="00166F9E">
      <w:pPr>
        <w:jc w:val="both"/>
      </w:pPr>
      <w:r w:rsidRPr="008815EF">
        <w:rPr>
          <w:b/>
          <w:bCs/>
        </w:rPr>
        <w:t xml:space="preserve">On the positive side, </w:t>
      </w:r>
      <w:r w:rsidR="005C23D1" w:rsidRPr="008815EF">
        <w:rPr>
          <w:b/>
          <w:bCs/>
        </w:rPr>
        <w:t xml:space="preserve">the </w:t>
      </w:r>
      <w:r w:rsidR="006C17D5" w:rsidRPr="008815EF">
        <w:rPr>
          <w:b/>
          <w:bCs/>
        </w:rPr>
        <w:t xml:space="preserve">legal framework </w:t>
      </w:r>
      <w:r w:rsidR="007D31AE" w:rsidRPr="008815EF">
        <w:rPr>
          <w:b/>
          <w:bCs/>
        </w:rPr>
        <w:t>contains rules to ensure</w:t>
      </w:r>
      <w:r w:rsidRPr="008815EF">
        <w:rPr>
          <w:b/>
          <w:bCs/>
        </w:rPr>
        <w:t xml:space="preserve"> the technical competency and qualifications of officials involved in authorizing and overseeing business activities</w:t>
      </w:r>
      <w:r w:rsidRPr="00075355">
        <w:rPr>
          <w:b/>
          <w:bCs/>
        </w:rPr>
        <w:t>.</w:t>
      </w:r>
      <w:r w:rsidRPr="00075355">
        <w:rPr>
          <w:rStyle w:val="FootnoteReference"/>
          <w:b/>
          <w:bCs/>
        </w:rPr>
        <w:footnoteReference w:id="79"/>
      </w:r>
      <w:r w:rsidRPr="00075355">
        <w:t xml:space="preserve"> Ministries are responsible for regulating codes, professional standards and salary classification for civil servant ranks in their assigned sectors after obtaining the consent of the Ministry of Home Affairs.</w:t>
      </w:r>
      <w:r w:rsidRPr="00075355">
        <w:rPr>
          <w:rStyle w:val="FootnoteReference"/>
        </w:rPr>
        <w:footnoteReference w:id="80"/>
      </w:r>
      <w:r w:rsidRPr="00075355">
        <w:t xml:space="preserve"> Based on the findings of the pilot maturity assessment of three licensing areas</w:t>
      </w:r>
      <w:r w:rsidR="000E6540" w:rsidRPr="00075355">
        <w:t xml:space="preserve"> prepared as background for this report</w:t>
      </w:r>
      <w:r w:rsidRPr="00075355">
        <w:t xml:space="preserve">, licensing authorities are aware of the importance of the professional competence of civil servants, especially during field assessments. </w:t>
      </w:r>
      <w:r w:rsidR="00916F49" w:rsidRPr="00075355">
        <w:t>Yet</w:t>
      </w:r>
      <w:r w:rsidRPr="00075355">
        <w:t xml:space="preserve">, technical expertise in the regulated area </w:t>
      </w:r>
      <w:r w:rsidR="00916F49" w:rsidRPr="00075355">
        <w:t>needs to be complemented by</w:t>
      </w:r>
      <w:r w:rsidR="00A1397D" w:rsidRPr="00075355">
        <w:t xml:space="preserve"> client-centric approaches</w:t>
      </w:r>
      <w:r w:rsidR="00E1618C" w:rsidRPr="00075355">
        <w:t xml:space="preserve"> to regulation</w:t>
      </w:r>
      <w:r w:rsidR="00A1397D" w:rsidRPr="00075355">
        <w:t xml:space="preserve"> and</w:t>
      </w:r>
      <w:r w:rsidRPr="00075355">
        <w:t xml:space="preserve"> the capacity to identify opportunities for streamlining or eliminating unnecessary regulations and procedures. </w:t>
      </w:r>
    </w:p>
    <w:p w14:paraId="5112B45F" w14:textId="6D20F0B7" w:rsidR="00166F9E" w:rsidRDefault="00166F9E" w:rsidP="00166F9E">
      <w:pPr>
        <w:jc w:val="both"/>
      </w:pPr>
      <w:r w:rsidRPr="008815EF">
        <w:rPr>
          <w:b/>
          <w:bCs/>
        </w:rPr>
        <w:lastRenderedPageBreak/>
        <w:t>The pilot licensing maturity assessment also assessed compensation and incentives</w:t>
      </w:r>
      <w:r w:rsidRPr="008815EF">
        <w:rPr>
          <w:rStyle w:val="FootnoteReference"/>
        </w:rPr>
        <w:footnoteReference w:id="81"/>
      </w:r>
      <w:r w:rsidRPr="008815EF">
        <w:rPr>
          <w:b/>
          <w:bCs/>
        </w:rPr>
        <w:t xml:space="preserve"> of government officials and found them to be </w:t>
      </w:r>
      <w:r w:rsidR="004E5EA8">
        <w:rPr>
          <w:b/>
          <w:bCs/>
        </w:rPr>
        <w:t xml:space="preserve">relatively </w:t>
      </w:r>
      <w:r w:rsidRPr="008815EF">
        <w:rPr>
          <w:b/>
          <w:bCs/>
        </w:rPr>
        <w:t>adequate.</w:t>
      </w:r>
      <w:r w:rsidRPr="008815EF">
        <w:t xml:space="preserve"> Compensation for civil servants is regulated by Decree 204/2004/ND-CP</w:t>
      </w:r>
      <w:r w:rsidR="002B55A1">
        <w:t xml:space="preserve"> and Decree </w:t>
      </w:r>
      <w:r w:rsidR="00E0459E">
        <w:t>24/2023/ND-CP</w:t>
      </w:r>
      <w:r w:rsidRPr="008815EF">
        <w:t xml:space="preserve"> (and supplementing legal documents). The incentive mechanisms applied to civil servants carrying out licensing are the same general mechanisms applied to all civil servants in state agencies</w:t>
      </w:r>
      <w:r w:rsidR="003D5175">
        <w:t xml:space="preserve">; </w:t>
      </w:r>
      <w:r w:rsidR="00B724D4">
        <w:t xml:space="preserve">they consist </w:t>
      </w:r>
      <w:r w:rsidR="00AA6635">
        <w:t xml:space="preserve">of </w:t>
      </w:r>
      <w:r w:rsidRPr="008815EF">
        <w:t>the emulation and commendation mechanism</w:t>
      </w:r>
      <w:r w:rsidR="003D5175">
        <w:t>,</w:t>
      </w:r>
      <w:r w:rsidRPr="008815EF">
        <w:t xml:space="preserve"> and the ability to ascend in the civil service ranks.</w:t>
      </w:r>
      <w:r w:rsidRPr="00700DA6">
        <w:t xml:space="preserve"> </w:t>
      </w:r>
    </w:p>
    <w:p w14:paraId="11D6832B" w14:textId="62064822" w:rsidR="00662765" w:rsidRDefault="62BD4E00" w:rsidP="15E5BA73">
      <w:pPr>
        <w:pStyle w:val="Heading3"/>
        <w:spacing w:before="100" w:beforeAutospacing="1" w:after="100" w:afterAutospacing="1"/>
      </w:pPr>
      <w:r>
        <w:t>Monitoring and reporting</w:t>
      </w:r>
    </w:p>
    <w:tbl>
      <w:tblPr>
        <w:tblStyle w:val="TableGrid"/>
        <w:tblW w:w="9360" w:type="dxa"/>
        <w:tblLayout w:type="fixed"/>
        <w:tblLook w:val="06A0" w:firstRow="1" w:lastRow="0" w:firstColumn="1" w:lastColumn="0" w:noHBand="1" w:noVBand="1"/>
      </w:tblPr>
      <w:tblGrid>
        <w:gridCol w:w="9360"/>
      </w:tblGrid>
      <w:tr w:rsidR="7037353D" w14:paraId="7D1D067B" w14:textId="77777777" w:rsidTr="00AA6635">
        <w:trPr>
          <w:trHeight w:val="300"/>
        </w:trPr>
        <w:tc>
          <w:tcPr>
            <w:tcW w:w="9360" w:type="dxa"/>
            <w:shd w:val="clear" w:color="auto" w:fill="D9E2F3" w:themeFill="accent1" w:themeFillTint="33"/>
          </w:tcPr>
          <w:p w14:paraId="37C8465F" w14:textId="2568BEA1" w:rsidR="2CA94307" w:rsidRDefault="2CA94307" w:rsidP="7037353D">
            <w:r>
              <w:t>T</w:t>
            </w:r>
            <w:r w:rsidR="04B05D8A">
              <w:t>he key findings from the analysis of monitoring and reporting include:</w:t>
            </w:r>
          </w:p>
          <w:p w14:paraId="6F9C2941" w14:textId="7E132C98" w:rsidR="1C411EF0" w:rsidRDefault="1C411EF0" w:rsidP="00AA6635">
            <w:pPr>
              <w:pStyle w:val="ListParagraph"/>
              <w:numPr>
                <w:ilvl w:val="0"/>
                <w:numId w:val="2"/>
              </w:numPr>
            </w:pPr>
            <w:r w:rsidRPr="00AA6635">
              <w:t xml:space="preserve">Resolution 68 requires ministries to </w:t>
            </w:r>
            <w:r w:rsidR="003E2D98">
              <w:t xml:space="preserve">prepare </w:t>
            </w:r>
            <w:r w:rsidRPr="00AA6635">
              <w:t xml:space="preserve">semi-annual progress </w:t>
            </w:r>
            <w:r w:rsidR="00226A2A">
              <w:t>reports but</w:t>
            </w:r>
            <w:r>
              <w:t xml:space="preserve"> does not specify corrective measures for non-compliance.</w:t>
            </w:r>
          </w:p>
          <w:p w14:paraId="6B0E5F0A" w14:textId="029B0124" w:rsidR="3DE1A723" w:rsidRDefault="785C3951" w:rsidP="00AA6635">
            <w:pPr>
              <w:pStyle w:val="ListParagraph"/>
              <w:numPr>
                <w:ilvl w:val="0"/>
                <w:numId w:val="2"/>
              </w:numPr>
            </w:pPr>
            <w:r>
              <w:t>Monitoring framework is strengthened by APCA</w:t>
            </w:r>
            <w:r w:rsidR="273C5A5C">
              <w:t>/OOG</w:t>
            </w:r>
            <w:r>
              <w:t xml:space="preserve">’s assessments and reports </w:t>
            </w:r>
            <w:r w:rsidR="6C29A736">
              <w:t>with a set of KPIs approved by the Prime Minister (Decision 766) and Administrative Procedure Compliance Cost Index.</w:t>
            </w:r>
          </w:p>
        </w:tc>
      </w:tr>
    </w:tbl>
    <w:p w14:paraId="5B5305BA" w14:textId="067F66AA" w:rsidR="7037353D" w:rsidRDefault="7037353D" w:rsidP="7037353D">
      <w:pPr>
        <w:jc w:val="both"/>
        <w:rPr>
          <w:b/>
          <w:bCs/>
        </w:rPr>
      </w:pPr>
    </w:p>
    <w:p w14:paraId="02ACA82D" w14:textId="0AAF14FA" w:rsidR="002B6277" w:rsidRDefault="7FE304CC" w:rsidP="002B6277">
      <w:pPr>
        <w:jc w:val="both"/>
      </w:pPr>
      <w:r w:rsidRPr="00A279E5">
        <w:rPr>
          <w:b/>
          <w:bCs/>
        </w:rPr>
        <w:t xml:space="preserve">Reporting requirements on implementation are laid out in Resolution 68, including </w:t>
      </w:r>
      <w:r>
        <w:rPr>
          <w:b/>
          <w:bCs/>
        </w:rPr>
        <w:t xml:space="preserve">an obligation for </w:t>
      </w:r>
      <w:r w:rsidR="420C99CF">
        <w:rPr>
          <w:b/>
          <w:bCs/>
        </w:rPr>
        <w:t xml:space="preserve">ministries </w:t>
      </w:r>
      <w:r>
        <w:rPr>
          <w:b/>
          <w:bCs/>
        </w:rPr>
        <w:t>to produce semi-</w:t>
      </w:r>
      <w:r w:rsidRPr="00A279E5">
        <w:rPr>
          <w:b/>
          <w:bCs/>
        </w:rPr>
        <w:t xml:space="preserve">annual </w:t>
      </w:r>
      <w:r>
        <w:rPr>
          <w:b/>
          <w:bCs/>
        </w:rPr>
        <w:t xml:space="preserve">progress </w:t>
      </w:r>
      <w:r w:rsidRPr="00A279E5">
        <w:rPr>
          <w:b/>
          <w:bCs/>
        </w:rPr>
        <w:t>reports</w:t>
      </w:r>
      <w:r w:rsidR="1F7903A3">
        <w:rPr>
          <w:b/>
          <w:bCs/>
        </w:rPr>
        <w:t xml:space="preserve">, but </w:t>
      </w:r>
      <w:r w:rsidR="29DDADC5">
        <w:rPr>
          <w:b/>
          <w:bCs/>
        </w:rPr>
        <w:t xml:space="preserve">the resolution does </w:t>
      </w:r>
      <w:r w:rsidR="00016207">
        <w:rPr>
          <w:b/>
          <w:bCs/>
        </w:rPr>
        <w:t>deal with non-compliance</w:t>
      </w:r>
      <w:r w:rsidRPr="00A279E5">
        <w:rPr>
          <w:b/>
          <w:bCs/>
        </w:rPr>
        <w:t>.</w:t>
      </w:r>
      <w:r>
        <w:t xml:space="preserve"> APCA/OOG consolidates the reports submitted by </w:t>
      </w:r>
      <w:r w:rsidR="420C99CF">
        <w:t>m</w:t>
      </w:r>
      <w:r w:rsidRPr="007C7B64">
        <w:t>inistries</w:t>
      </w:r>
      <w:r>
        <w:t xml:space="preserve"> and submits </w:t>
      </w:r>
      <w:r w:rsidR="4BEDEE2E">
        <w:t>them</w:t>
      </w:r>
      <w:r>
        <w:t xml:space="preserve"> to the Prime Minister twice per year. APCA</w:t>
      </w:r>
      <w:r w:rsidR="49A5C889">
        <w:t>/OOG</w:t>
      </w:r>
      <w:r>
        <w:t xml:space="preserve">’s bi-annual reports provide a candid assessment of the progress achieved towards the targets of Resolution 68, </w:t>
      </w:r>
      <w:r w:rsidR="49A5C889">
        <w:t xml:space="preserve">identify </w:t>
      </w:r>
      <w:r>
        <w:t xml:space="preserve">compliant and non-compliant </w:t>
      </w:r>
      <w:r w:rsidR="420C99CF">
        <w:t>m</w:t>
      </w:r>
      <w:r>
        <w:t>inistries</w:t>
      </w:r>
      <w:r w:rsidR="0ABE7A37">
        <w:t>,</w:t>
      </w:r>
      <w:r>
        <w:t xml:space="preserve"> and </w:t>
      </w:r>
      <w:r w:rsidR="44158FD7">
        <w:t>describe</w:t>
      </w:r>
      <w:r>
        <w:t xml:space="preserve"> implementation gaps.</w:t>
      </w:r>
      <w:r w:rsidR="002B6277">
        <w:rPr>
          <w:rStyle w:val="FootnoteReference"/>
        </w:rPr>
        <w:footnoteReference w:id="82"/>
      </w:r>
      <w:r w:rsidR="49A5C889">
        <w:t xml:space="preserve"> These reports are not public. </w:t>
      </w:r>
      <w:r>
        <w:t xml:space="preserve">Despite the detailed progress reporting requirements, Resolution 68 does not mention any implications for non-compliance by </w:t>
      </w:r>
      <w:r w:rsidR="2E25941E">
        <w:t>ministries</w:t>
      </w:r>
      <w:r>
        <w:t xml:space="preserve">. </w:t>
      </w:r>
    </w:p>
    <w:p w14:paraId="14EBCEE5" w14:textId="2882E66B" w:rsidR="0065383D" w:rsidRDefault="00AC5C3F" w:rsidP="002B6277">
      <w:pPr>
        <w:jc w:val="both"/>
      </w:pPr>
      <w:r w:rsidRPr="00386C31">
        <w:rPr>
          <w:b/>
          <w:bCs/>
        </w:rPr>
        <w:t>APCA</w:t>
      </w:r>
      <w:r w:rsidR="00456116" w:rsidRPr="00386C31">
        <w:rPr>
          <w:b/>
          <w:bCs/>
        </w:rPr>
        <w:t xml:space="preserve">/OOG </w:t>
      </w:r>
      <w:r w:rsidR="00667265" w:rsidRPr="00386C31">
        <w:rPr>
          <w:b/>
          <w:bCs/>
        </w:rPr>
        <w:t xml:space="preserve">also tracks implementation using its own </w:t>
      </w:r>
      <w:r w:rsidR="00AF72F7">
        <w:rPr>
          <w:b/>
          <w:bCs/>
        </w:rPr>
        <w:t>databases</w:t>
      </w:r>
      <w:r w:rsidR="00AF72F7" w:rsidRPr="00386C31">
        <w:rPr>
          <w:b/>
          <w:bCs/>
        </w:rPr>
        <w:t xml:space="preserve"> </w:t>
      </w:r>
      <w:r w:rsidR="001B2549" w:rsidRPr="00386C31">
        <w:rPr>
          <w:b/>
          <w:bCs/>
        </w:rPr>
        <w:t xml:space="preserve">and </w:t>
      </w:r>
      <w:r w:rsidR="00456116" w:rsidRPr="00386C31">
        <w:rPr>
          <w:b/>
          <w:bCs/>
        </w:rPr>
        <w:t>specifically developed tools in excel</w:t>
      </w:r>
      <w:r w:rsidR="00677096">
        <w:rPr>
          <w:b/>
          <w:bCs/>
        </w:rPr>
        <w:t xml:space="preserve">, </w:t>
      </w:r>
      <w:r w:rsidR="00A604C5">
        <w:rPr>
          <w:b/>
          <w:bCs/>
        </w:rPr>
        <w:t xml:space="preserve">although </w:t>
      </w:r>
      <w:r w:rsidR="00B32C92">
        <w:rPr>
          <w:b/>
          <w:bCs/>
        </w:rPr>
        <w:t xml:space="preserve">information is not </w:t>
      </w:r>
      <w:r w:rsidR="006E6D31">
        <w:rPr>
          <w:b/>
          <w:bCs/>
        </w:rPr>
        <w:t xml:space="preserve">always </w:t>
      </w:r>
      <w:r w:rsidR="00B32C92">
        <w:rPr>
          <w:b/>
          <w:bCs/>
        </w:rPr>
        <w:t>systematically collected</w:t>
      </w:r>
      <w:r w:rsidR="00456116">
        <w:t xml:space="preserve">. </w:t>
      </w:r>
      <w:r w:rsidR="00A604C5">
        <w:t xml:space="preserve">The main platforms for information on business regulations are the </w:t>
      </w:r>
      <w:r w:rsidR="00103B38">
        <w:t xml:space="preserve">National </w:t>
      </w:r>
      <w:r w:rsidR="009B04A8">
        <w:t>D</w:t>
      </w:r>
      <w:r w:rsidR="00A604C5">
        <w:t xml:space="preserve">atabase of </w:t>
      </w:r>
      <w:r w:rsidR="009B04A8">
        <w:t>Administrative Procedures</w:t>
      </w:r>
      <w:r w:rsidR="00A604C5">
        <w:t xml:space="preserve">, maintained by APCA/OOG, </w:t>
      </w:r>
      <w:r w:rsidR="00D8443F">
        <w:t xml:space="preserve">which is linked to </w:t>
      </w:r>
      <w:r w:rsidR="00A604C5">
        <w:t>the NPSP</w:t>
      </w:r>
      <w:r w:rsidR="00D8443F">
        <w:t>,</w:t>
      </w:r>
      <w:r w:rsidR="00A604C5">
        <w:t xml:space="preserve"> and the </w:t>
      </w:r>
      <w:r w:rsidR="00A604C5" w:rsidRPr="00A604C5">
        <w:t xml:space="preserve">Business Regulations </w:t>
      </w:r>
      <w:r w:rsidR="004C6410" w:rsidRPr="00A604C5">
        <w:t xml:space="preserve">Consultation </w:t>
      </w:r>
      <w:r w:rsidR="004C6410">
        <w:t xml:space="preserve">and </w:t>
      </w:r>
      <w:r w:rsidR="00A604C5" w:rsidRPr="00A604C5">
        <w:t>Query Portal</w:t>
      </w:r>
      <w:r w:rsidR="00A604C5">
        <w:t xml:space="preserve">. </w:t>
      </w:r>
      <w:r w:rsidR="00A50FDE" w:rsidRPr="00A50FDE">
        <w:t xml:space="preserve"> </w:t>
      </w:r>
      <w:r w:rsidR="00B1625E">
        <w:t>However</w:t>
      </w:r>
      <w:r w:rsidR="4E3E8CEB">
        <w:t>,</w:t>
      </w:r>
      <w:r w:rsidR="00A50FDE">
        <w:t xml:space="preserve"> updating the information in the</w:t>
      </w:r>
      <w:r w:rsidR="00411188">
        <w:t xml:space="preserve">se databases </w:t>
      </w:r>
      <w:r w:rsidR="00A50FDE">
        <w:t xml:space="preserve">relies on manual procedures. </w:t>
      </w:r>
      <w:r w:rsidR="00A604C5">
        <w:t xml:space="preserve">In addition, APCA/OOG has developed internal tools, </w:t>
      </w:r>
      <w:r w:rsidR="00B74890">
        <w:t xml:space="preserve">in excel, to consolidate information and report on the program progress, such as </w:t>
      </w:r>
      <w:r w:rsidR="00DE5DD7">
        <w:t>a database of legal documents issued or pending</w:t>
      </w:r>
      <w:r w:rsidR="00B20DF6">
        <w:t xml:space="preserve"> amendment. </w:t>
      </w:r>
    </w:p>
    <w:p w14:paraId="576B8749" w14:textId="46D06F8E" w:rsidR="00AF03E6" w:rsidRDefault="00AF03E6" w:rsidP="002B6277">
      <w:pPr>
        <w:jc w:val="both"/>
      </w:pPr>
      <w:r w:rsidRPr="3009A1B4">
        <w:rPr>
          <w:b/>
          <w:bCs/>
        </w:rPr>
        <w:t xml:space="preserve">The maintenance of the </w:t>
      </w:r>
      <w:r w:rsidR="00B621DB">
        <w:rPr>
          <w:b/>
          <w:bCs/>
        </w:rPr>
        <w:t>NDAP</w:t>
      </w:r>
      <w:r w:rsidRPr="3009A1B4">
        <w:rPr>
          <w:b/>
          <w:bCs/>
        </w:rPr>
        <w:t xml:space="preserve"> is regulated by Decree </w:t>
      </w:r>
      <w:r w:rsidR="008A496B" w:rsidRPr="3009A1B4">
        <w:rPr>
          <w:b/>
          <w:bCs/>
        </w:rPr>
        <w:t xml:space="preserve">No. 63/2010 and relies on inputs </w:t>
      </w:r>
      <w:r w:rsidR="6970F845" w:rsidRPr="4DA8FE4C">
        <w:rPr>
          <w:b/>
          <w:bCs/>
        </w:rPr>
        <w:t>from</w:t>
      </w:r>
      <w:r w:rsidR="008A496B" w:rsidRPr="3009A1B4">
        <w:rPr>
          <w:b/>
          <w:bCs/>
        </w:rPr>
        <w:t xml:space="preserve"> government agencies</w:t>
      </w:r>
      <w:r w:rsidRPr="3009A1B4">
        <w:rPr>
          <w:b/>
          <w:bCs/>
        </w:rPr>
        <w:t xml:space="preserve">. </w:t>
      </w:r>
      <w:r>
        <w:t>Th</w:t>
      </w:r>
      <w:r w:rsidR="008A496B">
        <w:t>e decree</w:t>
      </w:r>
      <w:r>
        <w:t xml:space="preserve"> includes clear roles, responsibilities, and timelines for updating the database. </w:t>
      </w:r>
      <w:r w:rsidR="267AF37D">
        <w:t>G</w:t>
      </w:r>
      <w:r>
        <w:t xml:space="preserve">overnment </w:t>
      </w:r>
      <w:r w:rsidR="00394202">
        <w:t xml:space="preserve">agencies </w:t>
      </w:r>
      <w:r>
        <w:t xml:space="preserve">that manage administrative procedures must inform APCA/OOG and update the </w:t>
      </w:r>
      <w:r>
        <w:lastRenderedPageBreak/>
        <w:t xml:space="preserve">National Database within five working days from signing a decision to introduce or amend an administrative procedure. </w:t>
      </w:r>
      <w:r w:rsidR="00C64A77">
        <w:t>T</w:t>
      </w:r>
      <w:r>
        <w:t>he decree stipulates that “</w:t>
      </w:r>
      <w:r w:rsidRPr="00AA6635">
        <w:rPr>
          <w:i/>
          <w:iCs/>
        </w:rPr>
        <w:t xml:space="preserve">administrative procedures that are posted on the National Database of </w:t>
      </w:r>
      <w:r w:rsidR="000E3467" w:rsidRPr="00AA6635">
        <w:rPr>
          <w:i/>
          <w:iCs/>
        </w:rPr>
        <w:t>administrative procedures</w:t>
      </w:r>
      <w:r w:rsidRPr="00AA6635">
        <w:rPr>
          <w:i/>
          <w:iCs/>
        </w:rPr>
        <w:t xml:space="preserve"> are valid for enforcement and have their enforcement guaranteed</w:t>
      </w:r>
      <w:r w:rsidR="00C64A77">
        <w:t>.</w:t>
      </w:r>
      <w:r>
        <w:t xml:space="preserve">” </w:t>
      </w:r>
      <w:r w:rsidR="00C64A77">
        <w:t>T</w:t>
      </w:r>
      <w:r>
        <w:t>his does not mean</w:t>
      </w:r>
      <w:r w:rsidR="00C64A77">
        <w:t>, however,</w:t>
      </w:r>
      <w:r>
        <w:t xml:space="preserve"> that if information on administrative procedures is not up to date in the National Database, it is considered unenforceable. Lastly, APCA/OOG is responsible for publishing the information received from the ministries in the National Database.  </w:t>
      </w:r>
    </w:p>
    <w:p w14:paraId="6753265A" w14:textId="4F88E339" w:rsidR="0067641D" w:rsidRDefault="50477143" w:rsidP="3009A1B4">
      <w:pPr>
        <w:jc w:val="both"/>
      </w:pPr>
      <w:r w:rsidRPr="15E5BA73">
        <w:rPr>
          <w:b/>
          <w:bCs/>
        </w:rPr>
        <w:t xml:space="preserve">To promote the use of </w:t>
      </w:r>
      <w:r w:rsidR="652CAC6F" w:rsidRPr="15E5BA73">
        <w:rPr>
          <w:b/>
          <w:bCs/>
        </w:rPr>
        <w:t>d</w:t>
      </w:r>
      <w:r w:rsidR="2CF9A550" w:rsidRPr="4E68FC03">
        <w:rPr>
          <w:b/>
          <w:bCs/>
        </w:rPr>
        <w:t>igital</w:t>
      </w:r>
      <w:r w:rsidR="2CF9A550" w:rsidRPr="15E5BA73">
        <w:rPr>
          <w:b/>
          <w:bCs/>
        </w:rPr>
        <w:t xml:space="preserve"> tools for regulatory reform and engaging the public, APCA/OOG has been developing the </w:t>
      </w:r>
      <w:r w:rsidR="77C8B55B" w:rsidRPr="15E5BA73">
        <w:rPr>
          <w:b/>
          <w:bCs/>
        </w:rPr>
        <w:t>Business Regulations Consultation and Query Portal</w:t>
      </w:r>
      <w:r w:rsidR="24A46033" w:rsidRPr="15E5BA73">
        <w:rPr>
          <w:b/>
          <w:bCs/>
        </w:rPr>
        <w:t xml:space="preserve">. </w:t>
      </w:r>
      <w:r w:rsidR="1E50B957" w:rsidRPr="15E5BA73">
        <w:rPr>
          <w:b/>
          <w:bCs/>
        </w:rPr>
        <w:t xml:space="preserve"> </w:t>
      </w:r>
      <w:r w:rsidR="7542600A" w:rsidRPr="15E5BA73">
        <w:rPr>
          <w:b/>
          <w:bCs/>
        </w:rPr>
        <w:t>M</w:t>
      </w:r>
      <w:r w:rsidR="1E50B957" w:rsidRPr="00AA6635">
        <w:t xml:space="preserve">inistries are </w:t>
      </w:r>
      <w:r w:rsidR="6E1581B1">
        <w:t>also</w:t>
      </w:r>
      <w:r w:rsidR="1E50B957">
        <w:t xml:space="preserve"> </w:t>
      </w:r>
      <w:r w:rsidR="1E50B957" w:rsidRPr="00AA6635">
        <w:t xml:space="preserve">requested to use the Portal for posting draft business regulations for public consultation </w:t>
      </w:r>
      <w:r w:rsidR="787D5958" w:rsidRPr="00AA6635">
        <w:t>purposes</w:t>
      </w:r>
      <w:r w:rsidR="4744E9AE" w:rsidRPr="00AA6635">
        <w:t>.</w:t>
      </w:r>
      <w:r w:rsidR="208DDE8A" w:rsidRPr="000F4B91">
        <w:rPr>
          <w:vertAlign w:val="superscript"/>
        </w:rPr>
        <w:footnoteReference w:id="83"/>
      </w:r>
      <w:r w:rsidR="0F19F2E4">
        <w:t xml:space="preserve"> </w:t>
      </w:r>
      <w:r w:rsidR="5C662F85">
        <w:t xml:space="preserve">Ministries’ officials are given accounts to </w:t>
      </w:r>
      <w:r w:rsidR="69E0EC6A">
        <w:t xml:space="preserve">access </w:t>
      </w:r>
      <w:r w:rsidR="5C662F85">
        <w:t>the Portal</w:t>
      </w:r>
      <w:r w:rsidR="636A8950">
        <w:t xml:space="preserve"> (back-end)</w:t>
      </w:r>
      <w:r w:rsidR="5C662F85">
        <w:t xml:space="preserve"> for </w:t>
      </w:r>
      <w:r w:rsidR="5D13A58E">
        <w:t>uploading</w:t>
      </w:r>
      <w:r w:rsidR="6D4CFC22">
        <w:t xml:space="preserve"> the stock of business regulations </w:t>
      </w:r>
      <w:r w:rsidR="7FD786CD">
        <w:t xml:space="preserve">(and supposedly accompanying compliance costs) for public </w:t>
      </w:r>
      <w:r w:rsidR="1DE440D1">
        <w:t>query</w:t>
      </w:r>
      <w:r w:rsidR="7FD786CD">
        <w:t xml:space="preserve">, </w:t>
      </w:r>
      <w:r w:rsidR="5C662F85">
        <w:t>preparing, approving p</w:t>
      </w:r>
      <w:r w:rsidR="7C828012">
        <w:t>osting draft regulations</w:t>
      </w:r>
      <w:r w:rsidR="636F10ED">
        <w:t xml:space="preserve"> for public consultation</w:t>
      </w:r>
      <w:r w:rsidR="7C828012">
        <w:t xml:space="preserve">. </w:t>
      </w:r>
      <w:r w:rsidR="65C76DA9">
        <w:t>The Portal also allows viewers to search for specific regulations and give comments and feedback on specific ones</w:t>
      </w:r>
      <w:r w:rsidR="787D5958">
        <w:t xml:space="preserve">. </w:t>
      </w:r>
    </w:p>
    <w:p w14:paraId="1BF589CA" w14:textId="2C9C90BD" w:rsidR="00916135" w:rsidRPr="005C0701" w:rsidRDefault="58B20773" w:rsidP="00671BAF">
      <w:pPr>
        <w:jc w:val="both"/>
      </w:pPr>
      <w:r w:rsidRPr="15E5BA73">
        <w:rPr>
          <w:b/>
          <w:bCs/>
        </w:rPr>
        <w:t>I</w:t>
      </w:r>
      <w:r w:rsidR="3436C000" w:rsidRPr="003A217E">
        <w:rPr>
          <w:b/>
          <w:bCs/>
        </w:rPr>
        <w:t xml:space="preserve">mplementation of electronic administrative procedures is measured by </w:t>
      </w:r>
      <w:r w:rsidR="74DE6098" w:rsidRPr="003A217E">
        <w:rPr>
          <w:b/>
          <w:bCs/>
        </w:rPr>
        <w:t xml:space="preserve">well-defined </w:t>
      </w:r>
      <w:r w:rsidR="3436C000" w:rsidRPr="003A217E">
        <w:rPr>
          <w:b/>
          <w:bCs/>
        </w:rPr>
        <w:t>Key Performance Indicators</w:t>
      </w:r>
      <w:r w:rsidR="1E1004FF" w:rsidRPr="003A217E">
        <w:rPr>
          <w:b/>
          <w:bCs/>
        </w:rPr>
        <w:t>.</w:t>
      </w:r>
      <w:r w:rsidR="00976701" w:rsidRPr="003A217E">
        <w:rPr>
          <w:rStyle w:val="FootnoteReference"/>
          <w:b/>
          <w:bCs/>
        </w:rPr>
        <w:footnoteReference w:id="84"/>
      </w:r>
      <w:r w:rsidR="050CC180" w:rsidRPr="003A217E">
        <w:rPr>
          <w:b/>
          <w:bCs/>
        </w:rPr>
        <w:t xml:space="preserve"> </w:t>
      </w:r>
      <w:r w:rsidR="6FE1596D" w:rsidRPr="00265624">
        <w:t xml:space="preserve">The </w:t>
      </w:r>
      <w:r w:rsidR="00A554CF">
        <w:t>D</w:t>
      </w:r>
      <w:r w:rsidR="6FE1596D" w:rsidRPr="00265624">
        <w:t>ecision</w:t>
      </w:r>
      <w:r w:rsidR="00A554CF">
        <w:t xml:space="preserve"> 766</w:t>
      </w:r>
      <w:r w:rsidR="6FE1596D" w:rsidRPr="00265624">
        <w:t xml:space="preserve"> stipulates five indices, namely i) transparency; ii) handling progress and results; iii) online services; iv) document digitization; and v) satisfaction levels. Each of these indices includes several sub-indicators. The KPIs aim to measure progress on the availability of information on APs, operational efficiency in service delivery, digitalization of services, and the end users’ satisfaction level. The indices and sub-indicators </w:t>
      </w:r>
      <w:bookmarkStart w:id="19" w:name="_Int_yvIZQvO2"/>
      <w:r w:rsidR="6FE1596D" w:rsidRPr="00265624">
        <w:t>are</w:t>
      </w:r>
      <w:bookmarkEnd w:id="19"/>
      <w:r w:rsidR="6FE1596D" w:rsidRPr="00265624">
        <w:t xml:space="preserve"> in the right direction</w:t>
      </w:r>
      <w:r w:rsidR="0DA25DA1">
        <w:t>,</w:t>
      </w:r>
      <w:r w:rsidR="6FE1596D" w:rsidRPr="00265624">
        <w:t xml:space="preserve"> and </w:t>
      </w:r>
      <w:r w:rsidR="0DA25DA1">
        <w:t>some marginal improvements could be considered.</w:t>
      </w:r>
      <w:r w:rsidR="70955EC7" w:rsidRPr="00507599">
        <w:t xml:space="preserve"> </w:t>
      </w:r>
      <w:r w:rsidR="70955EC7">
        <w:t xml:space="preserve">While assessing the full implementation of the KPIs is beyond the scope of this assessment, </w:t>
      </w:r>
      <w:r w:rsidR="762C0D3C">
        <w:t xml:space="preserve">it </w:t>
      </w:r>
      <w:r w:rsidR="001CFF7D">
        <w:t>could provide important information on the quality of regulatory delivery, especially by local agencies.</w:t>
      </w:r>
      <w:r w:rsidR="00916135">
        <w:rPr>
          <w:rStyle w:val="FootnoteReference"/>
        </w:rPr>
        <w:footnoteReference w:id="85"/>
      </w:r>
      <w:r w:rsidR="001CFF7D">
        <w:t xml:space="preserve"> </w:t>
      </w:r>
    </w:p>
    <w:p w14:paraId="27E72D9C" w14:textId="414F1F77" w:rsidR="00A61E5A" w:rsidRDefault="1F9932F4" w:rsidP="15E5BA73">
      <w:pPr>
        <w:jc w:val="both"/>
      </w:pPr>
      <w:r w:rsidRPr="15E5BA73">
        <w:rPr>
          <w:b/>
          <w:bCs/>
        </w:rPr>
        <w:t xml:space="preserve">The Administrative Procedure Compliance Cost Index (APCI) developed by ACAPR is also used </w:t>
      </w:r>
      <w:r w:rsidR="00DB1EA9" w:rsidRPr="15E5BA73">
        <w:rPr>
          <w:b/>
          <w:bCs/>
        </w:rPr>
        <w:t xml:space="preserve">to </w:t>
      </w:r>
      <w:r w:rsidR="00DB1EA9">
        <w:rPr>
          <w:b/>
          <w:bCs/>
        </w:rPr>
        <w:t>monitor</w:t>
      </w:r>
      <w:r w:rsidR="7D483C6E">
        <w:rPr>
          <w:b/>
          <w:bCs/>
        </w:rPr>
        <w:t xml:space="preserve"> </w:t>
      </w:r>
      <w:r w:rsidR="24E7A8E4">
        <w:rPr>
          <w:b/>
          <w:bCs/>
        </w:rPr>
        <w:t>business regulations</w:t>
      </w:r>
      <w:r w:rsidR="003E3572" w:rsidRPr="15E5BA73">
        <w:rPr>
          <w:b/>
          <w:bCs/>
        </w:rPr>
        <w:t>.</w:t>
      </w:r>
      <w:r w:rsidR="24E7A8E4">
        <w:rPr>
          <w:b/>
          <w:bCs/>
        </w:rPr>
        <w:t xml:space="preserve">  </w:t>
      </w:r>
      <w:r w:rsidR="24E7A8E4" w:rsidRPr="003A217E">
        <w:t xml:space="preserve">Introduced in </w:t>
      </w:r>
      <w:r w:rsidR="5CBE4030" w:rsidRPr="003A217E">
        <w:t>2018</w:t>
      </w:r>
      <w:r w:rsidR="7374B68E" w:rsidRPr="003A217E">
        <w:t xml:space="preserve">, </w:t>
      </w:r>
      <w:r w:rsidR="24E7A8E4" w:rsidRPr="003A217E">
        <w:t>it</w:t>
      </w:r>
      <w:r w:rsidR="3E989269" w:rsidRPr="003A217E">
        <w:t xml:space="preserve"> quantif</w:t>
      </w:r>
      <w:r w:rsidR="24E7A8E4" w:rsidRPr="003A217E">
        <w:t>ies</w:t>
      </w:r>
      <w:r w:rsidR="3E989269" w:rsidRPr="003A217E">
        <w:t xml:space="preserve"> the time and cost to comply with selected administrative procedures</w:t>
      </w:r>
      <w:r w:rsidR="3E989269" w:rsidRPr="00443BA3">
        <w:t>.</w:t>
      </w:r>
      <w:r w:rsidR="3E989269" w:rsidRPr="00AE6688">
        <w:t xml:space="preserve"> </w:t>
      </w:r>
      <w:r w:rsidR="3E989269">
        <w:t xml:space="preserve">Supported by </w:t>
      </w:r>
      <w:r w:rsidR="76639EE9">
        <w:t>international donors like</w:t>
      </w:r>
      <w:r w:rsidR="3E989269">
        <w:t xml:space="preserve"> USAID, the APCI </w:t>
      </w:r>
      <w:r w:rsidR="4FB5726A">
        <w:t>reports</w:t>
      </w:r>
      <w:r w:rsidR="31EEE424">
        <w:t xml:space="preserve"> </w:t>
      </w:r>
      <w:r w:rsidR="4FB5726A">
        <w:t xml:space="preserve">on </w:t>
      </w:r>
      <w:r w:rsidR="422992A6">
        <w:t xml:space="preserve">compliance costs of nine groups of administrative procedures covering the </w:t>
      </w:r>
      <w:bookmarkStart w:id="20" w:name="_Int_era2ib2J"/>
      <w:r w:rsidR="422992A6">
        <w:t>life-cycle</w:t>
      </w:r>
      <w:bookmarkEnd w:id="20"/>
      <w:r w:rsidR="422992A6">
        <w:t xml:space="preserve"> of a firm</w:t>
      </w:r>
      <w:r w:rsidR="78EB9D06">
        <w:t>,</w:t>
      </w:r>
      <w:r w:rsidR="00912DFB">
        <w:rPr>
          <w:rStyle w:val="FootnoteReference"/>
        </w:rPr>
        <w:footnoteReference w:id="86"/>
      </w:r>
      <w:r w:rsidR="78EB9D06">
        <w:t xml:space="preserve"> based on </w:t>
      </w:r>
      <w:r w:rsidR="49A2E69E">
        <w:t xml:space="preserve">a </w:t>
      </w:r>
      <w:r w:rsidR="34FA2FBA">
        <w:t xml:space="preserve">business survey </w:t>
      </w:r>
      <w:r w:rsidR="49A2E69E">
        <w:t xml:space="preserve">covering over 3,000 firms </w:t>
      </w:r>
      <w:r w:rsidR="25EF7C7E">
        <w:t xml:space="preserve">with recent experience dealing with </w:t>
      </w:r>
      <w:r w:rsidR="6D86165D">
        <w:t>APs</w:t>
      </w:r>
      <w:r w:rsidR="49A2E69E">
        <w:t xml:space="preserve"> across Viet Nam’s </w:t>
      </w:r>
      <w:r w:rsidR="2480699A">
        <w:t>regions.</w:t>
      </w:r>
      <w:r w:rsidR="286756C5">
        <w:t xml:space="preserve"> </w:t>
      </w:r>
      <w:r w:rsidR="4B703481">
        <w:t xml:space="preserve">In the 2022 edition, procedures related to </w:t>
      </w:r>
      <w:r w:rsidR="62AA13F3">
        <w:t>tax administration obtained the highest scores in terms of efficiency, followed by construction and investment-related procedures. While licensing procedures have seen some improvements since 2018</w:t>
      </w:r>
      <w:r w:rsidR="0322DDD2">
        <w:t xml:space="preserve">, </w:t>
      </w:r>
      <w:r w:rsidR="136BCDCB">
        <w:t xml:space="preserve">the report identified opportunities to increase the </w:t>
      </w:r>
      <w:bookmarkStart w:id="21" w:name="_Int_qMaB1NRZ"/>
      <w:r w:rsidR="164B52F0">
        <w:t>quality of service</w:t>
      </w:r>
      <w:bookmarkEnd w:id="21"/>
      <w:r w:rsidR="136BCDCB">
        <w:t xml:space="preserve"> delivery and information exchange across agencies. </w:t>
      </w:r>
      <w:r w:rsidR="7CD5EEF4">
        <w:t xml:space="preserve">Procedures related to </w:t>
      </w:r>
      <w:r w:rsidR="00F8711E">
        <w:t>l</w:t>
      </w:r>
      <w:r w:rsidR="136BCDCB">
        <w:t xml:space="preserve">and administration were identified as </w:t>
      </w:r>
      <w:r w:rsidR="164B52F0">
        <w:t>needing more improvement.</w:t>
      </w:r>
    </w:p>
    <w:p w14:paraId="28F4E305" w14:textId="5A084AFF" w:rsidR="00662765" w:rsidRPr="00662765" w:rsidRDefault="4167FB7E" w:rsidP="00CF13CA">
      <w:pPr>
        <w:pStyle w:val="Heading3"/>
        <w:spacing w:before="100" w:beforeAutospacing="1" w:after="100" w:afterAutospacing="1"/>
      </w:pPr>
      <w:r>
        <w:lastRenderedPageBreak/>
        <w:t>Use of digital technology for regulatory delivery</w:t>
      </w:r>
    </w:p>
    <w:tbl>
      <w:tblPr>
        <w:tblStyle w:val="TableGrid"/>
        <w:tblW w:w="9360" w:type="dxa"/>
        <w:tblLayout w:type="fixed"/>
        <w:tblLook w:val="06A0" w:firstRow="1" w:lastRow="0" w:firstColumn="1" w:lastColumn="0" w:noHBand="1" w:noVBand="1"/>
      </w:tblPr>
      <w:tblGrid>
        <w:gridCol w:w="9360"/>
      </w:tblGrid>
      <w:tr w:rsidR="7037353D" w14:paraId="2860E064" w14:textId="77777777" w:rsidTr="00AA6635">
        <w:trPr>
          <w:trHeight w:val="300"/>
        </w:trPr>
        <w:tc>
          <w:tcPr>
            <w:tcW w:w="9360" w:type="dxa"/>
            <w:shd w:val="clear" w:color="auto" w:fill="D9E2F3" w:themeFill="accent1" w:themeFillTint="33"/>
          </w:tcPr>
          <w:p w14:paraId="5A77CF8F" w14:textId="6761A7B9" w:rsidR="3F33348B" w:rsidRDefault="3F33348B" w:rsidP="7037353D">
            <w:r>
              <w:t>The key findings from the analysis of the use of technology for regulatory delivery include:</w:t>
            </w:r>
          </w:p>
          <w:p w14:paraId="5FF66224" w14:textId="10CF052B" w:rsidR="70FEEC6B" w:rsidRDefault="70FEEC6B" w:rsidP="00AA6635">
            <w:pPr>
              <w:pStyle w:val="ListParagraph"/>
              <w:numPr>
                <w:ilvl w:val="0"/>
                <w:numId w:val="1"/>
              </w:numPr>
            </w:pPr>
            <w:r>
              <w:t>Digital solutions have been adopted to different degrees to implement Resolution 68 and to improve regulatory delivery</w:t>
            </w:r>
            <w:r w:rsidR="3F18FAE8">
              <w:t>, with an increasing number of end-to-end online services and a shared digital payment platform.</w:t>
            </w:r>
            <w:r>
              <w:t xml:space="preserve"> </w:t>
            </w:r>
          </w:p>
          <w:p w14:paraId="6E080E50" w14:textId="31DD0C4A" w:rsidR="636FB8B8" w:rsidRDefault="636FB8B8" w:rsidP="00AA6635">
            <w:pPr>
              <w:pStyle w:val="ListParagraph"/>
              <w:numPr>
                <w:ilvl w:val="0"/>
                <w:numId w:val="1"/>
              </w:numPr>
            </w:pPr>
            <w:r>
              <w:t xml:space="preserve">The current legal framework is not fully supportive of a digital-first approach; regulatory delivery still relies heavily on unstructured data. </w:t>
            </w:r>
          </w:p>
          <w:p w14:paraId="3A5F427C" w14:textId="642C3A5D" w:rsidR="03A0445C" w:rsidRDefault="6A252C67" w:rsidP="00AA6635">
            <w:pPr>
              <w:pStyle w:val="ListParagraph"/>
              <w:numPr>
                <w:ilvl w:val="0"/>
                <w:numId w:val="1"/>
              </w:numPr>
            </w:pPr>
            <w:r>
              <w:t xml:space="preserve">Inter-agency data sharing framework (interoperability) should be strengthened to allow for </w:t>
            </w:r>
            <w:r w:rsidR="48F63236">
              <w:t xml:space="preserve">better implementation of “Once-Only Principle”, reducing information obligation for businesses, and improving online service quality. </w:t>
            </w:r>
          </w:p>
        </w:tc>
      </w:tr>
    </w:tbl>
    <w:p w14:paraId="4CB302AE" w14:textId="3D32A5CC" w:rsidR="7037353D" w:rsidRDefault="7037353D" w:rsidP="7037353D">
      <w:pPr>
        <w:jc w:val="both"/>
        <w:rPr>
          <w:b/>
          <w:bCs/>
        </w:rPr>
      </w:pPr>
    </w:p>
    <w:p w14:paraId="4F187B12" w14:textId="3E9DEC3A" w:rsidR="00302A16" w:rsidRDefault="00D13149" w:rsidP="001D3C93">
      <w:pPr>
        <w:jc w:val="both"/>
      </w:pPr>
      <w:r w:rsidRPr="009D7243">
        <w:rPr>
          <w:b/>
          <w:bCs/>
        </w:rPr>
        <w:t xml:space="preserve">Resolution 68 also promotes </w:t>
      </w:r>
      <w:r w:rsidR="00521AD1" w:rsidRPr="009D7243">
        <w:rPr>
          <w:b/>
          <w:bCs/>
        </w:rPr>
        <w:t xml:space="preserve">digital solutions in regulatory </w:t>
      </w:r>
      <w:r w:rsidR="00AC048D" w:rsidRPr="00AC048D">
        <w:rPr>
          <w:b/>
          <w:bCs/>
        </w:rPr>
        <w:t>delivery,</w:t>
      </w:r>
      <w:r w:rsidR="003F7827">
        <w:rPr>
          <w:b/>
          <w:bCs/>
        </w:rPr>
        <w:t xml:space="preserve"> </w:t>
      </w:r>
      <w:r w:rsidR="004C6410">
        <w:rPr>
          <w:b/>
          <w:bCs/>
        </w:rPr>
        <w:t>which</w:t>
      </w:r>
      <w:r w:rsidR="003F7827">
        <w:rPr>
          <w:b/>
          <w:bCs/>
        </w:rPr>
        <w:t xml:space="preserve"> is an area with potential for improvement</w:t>
      </w:r>
      <w:r w:rsidR="00302A16" w:rsidRPr="009D7243">
        <w:rPr>
          <w:b/>
          <w:bCs/>
        </w:rPr>
        <w:t>.</w:t>
      </w:r>
      <w:r w:rsidR="00302A16" w:rsidRPr="007C7B64">
        <w:t xml:space="preserve"> </w:t>
      </w:r>
      <w:r w:rsidR="00C70B72" w:rsidRPr="00C70B72">
        <w:t>Since 2019, APCA</w:t>
      </w:r>
      <w:r w:rsidR="00AE08DE">
        <w:t>/OOG</w:t>
      </w:r>
      <w:r w:rsidR="00C70B72" w:rsidRPr="00C70B72">
        <w:t xml:space="preserve"> has implemented and continues to evolve the NPSP</w:t>
      </w:r>
      <w:r w:rsidR="00CB4EF7">
        <w:t>, which</w:t>
      </w:r>
      <w:r w:rsidR="006C060F">
        <w:t xml:space="preserve"> offers </w:t>
      </w:r>
      <w:r w:rsidR="006C060F" w:rsidRPr="007C7B64">
        <w:t xml:space="preserve">an information portal on administrative procedures that also connects users to transactional services provided by </w:t>
      </w:r>
      <w:r w:rsidR="00685724">
        <w:t>m</w:t>
      </w:r>
      <w:r w:rsidR="006C060F" w:rsidRPr="007C7B64">
        <w:t xml:space="preserve">inistries and </w:t>
      </w:r>
      <w:r w:rsidR="00685724">
        <w:t>p</w:t>
      </w:r>
      <w:r w:rsidR="006C060F" w:rsidRPr="007C7B64">
        <w:t>rovinces</w:t>
      </w:r>
      <w:r w:rsidR="00384794">
        <w:t>.</w:t>
      </w:r>
      <w:r w:rsidR="006C060F" w:rsidRPr="007C7B64">
        <w:t xml:space="preserve"> </w:t>
      </w:r>
      <w:r w:rsidR="00384794" w:rsidRPr="007C7B64">
        <w:t xml:space="preserve">However, </w:t>
      </w:r>
      <w:r w:rsidR="00CB4EF7">
        <w:t xml:space="preserve">while APCA/OOG </w:t>
      </w:r>
      <w:r w:rsidR="008110E2">
        <w:t>has improved searchability based on user</w:t>
      </w:r>
      <w:r w:rsidR="00514D86">
        <w:t xml:space="preserve"> feedback</w:t>
      </w:r>
      <w:r w:rsidR="008110E2">
        <w:t xml:space="preserve">, </w:t>
      </w:r>
      <w:r w:rsidR="00384794" w:rsidRPr="00411F84">
        <w:t xml:space="preserve">there are </w:t>
      </w:r>
      <w:r w:rsidR="00514D86">
        <w:t xml:space="preserve">still </w:t>
      </w:r>
      <w:r w:rsidR="00384794" w:rsidRPr="00411F84">
        <w:t xml:space="preserve">opportunities to make the information </w:t>
      </w:r>
      <w:r w:rsidR="00257D3C">
        <w:t>on administrative procedures</w:t>
      </w:r>
      <w:r w:rsidR="00384794" w:rsidRPr="00411F84">
        <w:t xml:space="preserve"> </w:t>
      </w:r>
      <w:r w:rsidR="00257D3C">
        <w:t xml:space="preserve">in the NPSPS </w:t>
      </w:r>
      <w:r w:rsidR="00384794" w:rsidRPr="00411F84">
        <w:t xml:space="preserve">more user-friendly – use plain language and improved formatting – as the information appears to </w:t>
      </w:r>
      <w:r w:rsidR="008765F0">
        <w:t xml:space="preserve">come directly from legal documents, </w:t>
      </w:r>
      <w:r w:rsidR="0085448F">
        <w:t>and it</w:t>
      </w:r>
      <w:r w:rsidR="00384794" w:rsidRPr="00411F84">
        <w:t xml:space="preserve"> may not be accessible to all.</w:t>
      </w:r>
      <w:r w:rsidR="00384794" w:rsidRPr="00A466AA">
        <w:rPr>
          <w:vertAlign w:val="superscript"/>
        </w:rPr>
        <w:footnoteReference w:id="87"/>
      </w:r>
      <w:r w:rsidR="00384794">
        <w:t xml:space="preserve"> </w:t>
      </w:r>
      <w:r w:rsidR="003C11B2">
        <w:t>M</w:t>
      </w:r>
      <w:r w:rsidR="00302A16" w:rsidRPr="007C7B64">
        <w:t>ost administrative procedures are neither fully digitalized nor integrated, and data submission involves primarily unstructured documents</w:t>
      </w:r>
      <w:r w:rsidR="00723329">
        <w:rPr>
          <w:rStyle w:val="FootnoteReference"/>
        </w:rPr>
        <w:footnoteReference w:id="88"/>
      </w:r>
      <w:r w:rsidR="00302A16" w:rsidRPr="007C7B64">
        <w:t xml:space="preserve">. </w:t>
      </w:r>
    </w:p>
    <w:p w14:paraId="79B9FBB7" w14:textId="3A16AA0B" w:rsidR="00B47D19" w:rsidRDefault="007A1177" w:rsidP="009D7243">
      <w:pPr>
        <w:jc w:val="both"/>
      </w:pPr>
      <w:r w:rsidRPr="009D7243">
        <w:rPr>
          <w:b/>
          <w:bCs/>
        </w:rPr>
        <w:t>The current legal framework</w:t>
      </w:r>
      <w:r w:rsidR="009776FB" w:rsidRPr="009D7243">
        <w:rPr>
          <w:b/>
          <w:bCs/>
        </w:rPr>
        <w:t xml:space="preserve"> provides a good basis</w:t>
      </w:r>
      <w:r w:rsidR="00E43074">
        <w:rPr>
          <w:b/>
          <w:bCs/>
        </w:rPr>
        <w:t xml:space="preserve"> for digitalization</w:t>
      </w:r>
      <w:r w:rsidR="0061589A">
        <w:rPr>
          <w:b/>
          <w:bCs/>
        </w:rPr>
        <w:t xml:space="preserve"> but</w:t>
      </w:r>
      <w:r w:rsidRPr="009D7243">
        <w:rPr>
          <w:b/>
          <w:bCs/>
        </w:rPr>
        <w:t xml:space="preserve"> </w:t>
      </w:r>
      <w:r w:rsidR="0061589A">
        <w:rPr>
          <w:b/>
          <w:bCs/>
        </w:rPr>
        <w:t>does not fully support</w:t>
      </w:r>
      <w:r w:rsidR="006C5805" w:rsidRPr="009D7243">
        <w:rPr>
          <w:b/>
          <w:bCs/>
        </w:rPr>
        <w:t xml:space="preserve"> a digital-first approach.</w:t>
      </w:r>
      <w:r w:rsidR="006C5805">
        <w:t xml:space="preserve"> </w:t>
      </w:r>
      <w:r w:rsidR="00AC0662" w:rsidRPr="00AC0662">
        <w:t xml:space="preserve">There are important laws and regulations on the foundational public digital infrastructure and the digitalization of regulatory delivery. </w:t>
      </w:r>
      <w:r w:rsidR="00B47D19" w:rsidRPr="00B47D19">
        <w:t xml:space="preserve">These include the </w:t>
      </w:r>
      <w:r w:rsidR="005F650B">
        <w:t>D</w:t>
      </w:r>
      <w:r w:rsidR="00B47D19" w:rsidRPr="00B47D19">
        <w:t xml:space="preserve">ecree on </w:t>
      </w:r>
      <w:r w:rsidR="005F650B">
        <w:t>O</w:t>
      </w:r>
      <w:r w:rsidR="00B47D19" w:rsidRPr="00B47D19">
        <w:t xml:space="preserve">nline </w:t>
      </w:r>
      <w:r w:rsidR="000E79E5">
        <w:t>A</w:t>
      </w:r>
      <w:r w:rsidR="00B47D19" w:rsidRPr="00B47D19">
        <w:t xml:space="preserve">dministrative </w:t>
      </w:r>
      <w:r w:rsidR="000E79E5">
        <w:t>P</w:t>
      </w:r>
      <w:r w:rsidR="00B47D19" w:rsidRPr="00B47D19">
        <w:t>rocedures</w:t>
      </w:r>
      <w:r w:rsidR="00932B98">
        <w:t xml:space="preserve"> </w:t>
      </w:r>
      <w:r w:rsidR="004925A8">
        <w:t xml:space="preserve">(Decree </w:t>
      </w:r>
      <w:r w:rsidR="007565AB">
        <w:t>45/2020</w:t>
      </w:r>
      <w:r w:rsidR="0016616A">
        <w:t>/ND-CP</w:t>
      </w:r>
      <w:r w:rsidR="007565AB">
        <w:t>)</w:t>
      </w:r>
      <w:r w:rsidR="00B47D19" w:rsidRPr="00B47D19">
        <w:t xml:space="preserve">, the </w:t>
      </w:r>
      <w:r w:rsidR="000E79E5">
        <w:t>D</w:t>
      </w:r>
      <w:r w:rsidR="00B47D19" w:rsidRPr="00B47D19">
        <w:t xml:space="preserve">ecree on </w:t>
      </w:r>
      <w:r w:rsidR="000E79E5">
        <w:t>M</w:t>
      </w:r>
      <w:r w:rsidR="00B47D19" w:rsidRPr="00B47D19">
        <w:t xml:space="preserve">anagement, </w:t>
      </w:r>
      <w:r w:rsidR="000E79E5">
        <w:t>C</w:t>
      </w:r>
      <w:r w:rsidR="00B47D19" w:rsidRPr="00B47D19">
        <w:t xml:space="preserve">onnection, and </w:t>
      </w:r>
      <w:r w:rsidR="000E79E5">
        <w:t>S</w:t>
      </w:r>
      <w:r w:rsidR="00B47D19" w:rsidRPr="00B47D19">
        <w:t xml:space="preserve">haring of </w:t>
      </w:r>
      <w:r w:rsidR="000E79E5">
        <w:t>D</w:t>
      </w:r>
      <w:r w:rsidR="00B47D19" w:rsidRPr="00B47D19">
        <w:t xml:space="preserve">igital </w:t>
      </w:r>
      <w:r w:rsidR="000E79E5">
        <w:t>D</w:t>
      </w:r>
      <w:r w:rsidR="00B47D19" w:rsidRPr="00B47D19">
        <w:t xml:space="preserve">ata of </w:t>
      </w:r>
      <w:r w:rsidR="000E79E5">
        <w:t>R</w:t>
      </w:r>
      <w:r w:rsidR="00B47D19" w:rsidRPr="00B47D19">
        <w:t xml:space="preserve">egulatory </w:t>
      </w:r>
      <w:r w:rsidR="000E79E5">
        <w:t>A</w:t>
      </w:r>
      <w:r w:rsidR="00B47D19" w:rsidRPr="00B47D19">
        <w:t xml:space="preserve">gencies, the </w:t>
      </w:r>
      <w:r w:rsidR="000E79E5">
        <w:t>D</w:t>
      </w:r>
      <w:r w:rsidR="00B47D19" w:rsidRPr="00B47D19">
        <w:t xml:space="preserve">ecree on the </w:t>
      </w:r>
      <w:r w:rsidR="000E79E5">
        <w:t>E</w:t>
      </w:r>
      <w:r w:rsidR="00B47D19" w:rsidRPr="00B47D19">
        <w:t xml:space="preserve">lectronic </w:t>
      </w:r>
      <w:r w:rsidR="000E79E5">
        <w:t>I</w:t>
      </w:r>
      <w:r w:rsidR="00B47D19" w:rsidRPr="00B47D19">
        <w:t xml:space="preserve">dentification (eID) and </w:t>
      </w:r>
      <w:r w:rsidR="000E79E5">
        <w:t>A</w:t>
      </w:r>
      <w:r w:rsidR="00B47D19" w:rsidRPr="00B47D19">
        <w:t xml:space="preserve">uthentication, the </w:t>
      </w:r>
      <w:r w:rsidR="000E79E5">
        <w:t>D</w:t>
      </w:r>
      <w:r w:rsidR="00B47D19" w:rsidRPr="00B47D19">
        <w:t xml:space="preserve">ecision on the </w:t>
      </w:r>
      <w:r w:rsidR="000E79E5">
        <w:t>U</w:t>
      </w:r>
      <w:r w:rsidR="00B47D19" w:rsidRPr="00B47D19">
        <w:t xml:space="preserve">se of </w:t>
      </w:r>
      <w:r w:rsidR="000E79E5">
        <w:t>D</w:t>
      </w:r>
      <w:r w:rsidR="00B47D19" w:rsidRPr="00B47D19">
        <w:t xml:space="preserve">ata from the </w:t>
      </w:r>
      <w:r w:rsidR="000E79E5">
        <w:t>P</w:t>
      </w:r>
      <w:r w:rsidR="00B47D19" w:rsidRPr="00B47D19">
        <w:t xml:space="preserve">opulation </w:t>
      </w:r>
      <w:r w:rsidR="000E79E5">
        <w:t>R</w:t>
      </w:r>
      <w:r w:rsidR="00B47D19" w:rsidRPr="00B47D19">
        <w:t xml:space="preserve">egistry for eID and </w:t>
      </w:r>
      <w:r w:rsidR="000E79E5">
        <w:t>A</w:t>
      </w:r>
      <w:r w:rsidR="00B47D19" w:rsidRPr="00B47D19">
        <w:t xml:space="preserve">uthentication </w:t>
      </w:r>
      <w:r w:rsidR="000E79E5">
        <w:t>S</w:t>
      </w:r>
      <w:r w:rsidR="00B47D19" w:rsidRPr="00B47D19">
        <w:t>ervices and the Law on Electronic Transactions.</w:t>
      </w:r>
      <w:r w:rsidR="0011300E">
        <w:rPr>
          <w:rStyle w:val="FootnoteReference"/>
        </w:rPr>
        <w:footnoteReference w:id="89"/>
      </w:r>
      <w:r w:rsidR="00B47D19" w:rsidRPr="00B47D19">
        <w:t xml:space="preserve"> </w:t>
      </w:r>
      <w:r w:rsidR="00346DD0">
        <w:t>However, b</w:t>
      </w:r>
      <w:r w:rsidR="0073106E">
        <w:t xml:space="preserve">oth the </w:t>
      </w:r>
      <w:r w:rsidR="00471E01">
        <w:t>D</w:t>
      </w:r>
      <w:r w:rsidR="0073106E">
        <w:t xml:space="preserve">ecree </w:t>
      </w:r>
      <w:r w:rsidR="007565AB">
        <w:t>45/</w:t>
      </w:r>
      <w:r w:rsidR="0016616A">
        <w:t>2020/ND-CP</w:t>
      </w:r>
      <w:r w:rsidR="0073106E">
        <w:t xml:space="preserve"> </w:t>
      </w:r>
      <w:r w:rsidR="008D02BB">
        <w:t xml:space="preserve">and the Electronic Transactions Law </w:t>
      </w:r>
      <w:r w:rsidR="0073106E">
        <w:t>could be improved by clarifying that the online version of input documents provided by applicants is considered the original version.</w:t>
      </w:r>
      <w:r w:rsidR="0011300E">
        <w:rPr>
          <w:rStyle w:val="FootnoteReference"/>
        </w:rPr>
        <w:footnoteReference w:id="90"/>
      </w:r>
      <w:r w:rsidR="0073106E">
        <w:t xml:space="preserve"> This would minimize the incentives of government authorities </w:t>
      </w:r>
      <w:r w:rsidR="002559A0">
        <w:t>to</w:t>
      </w:r>
      <w:r w:rsidR="0073106E">
        <w:t xml:space="preserve"> request paper documents in regulatory delivery. </w:t>
      </w:r>
    </w:p>
    <w:p w14:paraId="7D761350" w14:textId="267F3FCE" w:rsidR="00F527EB" w:rsidRPr="00BE2A61" w:rsidRDefault="7B885E0A" w:rsidP="009D7243">
      <w:pPr>
        <w:jc w:val="both"/>
      </w:pPr>
      <w:r w:rsidRPr="7037353D">
        <w:rPr>
          <w:b/>
          <w:bCs/>
        </w:rPr>
        <w:lastRenderedPageBreak/>
        <w:t>In practice, the assessment</w:t>
      </w:r>
      <w:r w:rsidR="179CE854" w:rsidRPr="7037353D">
        <w:rPr>
          <w:b/>
          <w:bCs/>
        </w:rPr>
        <w:t xml:space="preserve"> of licensing regulations</w:t>
      </w:r>
      <w:r w:rsidRPr="7037353D">
        <w:rPr>
          <w:b/>
          <w:bCs/>
        </w:rPr>
        <w:t xml:space="preserve"> found that applications for business licenses rely heavily on unstructured data.</w:t>
      </w:r>
      <w:r w:rsidRPr="00BE2A61">
        <w:t xml:space="preserve"> Although some application processes are online, </w:t>
      </w:r>
      <w:r w:rsidR="1DEEF679">
        <w:t xml:space="preserve">the majority of </w:t>
      </w:r>
      <w:r w:rsidRPr="00BE2A61">
        <w:t xml:space="preserve">digital submissions include </w:t>
      </w:r>
      <w:r w:rsidR="46C92B02">
        <w:t xml:space="preserve">an online form with </w:t>
      </w:r>
      <w:r w:rsidRPr="00BE2A61">
        <w:t xml:space="preserve">minimal structured data </w:t>
      </w:r>
      <w:r w:rsidR="46C92B02">
        <w:t>and</w:t>
      </w:r>
      <w:r w:rsidRPr="00BE2A61">
        <w:t xml:space="preserve"> scanned documents or PDFs (unstructured data).</w:t>
      </w:r>
      <w:r w:rsidR="00F527EB">
        <w:rPr>
          <w:rStyle w:val="FootnoteReference"/>
        </w:rPr>
        <w:footnoteReference w:id="91"/>
      </w:r>
      <w:r w:rsidRPr="00BE2A61">
        <w:t xml:space="preserve"> Thus, opportunities exist to streamline and improve application processes and data collection </w:t>
      </w:r>
      <w:r w:rsidR="07D3EDC9">
        <w:t xml:space="preserve">by </w:t>
      </w:r>
      <w:r w:rsidR="34B224AF">
        <w:t xml:space="preserve">strict </w:t>
      </w:r>
      <w:r w:rsidR="07D3EDC9" w:rsidRPr="00BE2A61">
        <w:t>implementation of the Once-Only Principle</w:t>
      </w:r>
      <w:r w:rsidR="00FE005F" w:rsidRPr="00AA6635">
        <w:rPr>
          <w:rStyle w:val="FootnoteReference"/>
        </w:rPr>
        <w:footnoteReference w:id="92"/>
      </w:r>
      <w:r w:rsidR="07D3EDC9" w:rsidRPr="00BE2A61">
        <w:t xml:space="preserve"> </w:t>
      </w:r>
      <w:r w:rsidRPr="00BE2A61">
        <w:t xml:space="preserve">through the introduction of </w:t>
      </w:r>
      <w:r w:rsidR="03A41987">
        <w:t xml:space="preserve">easy-to-use </w:t>
      </w:r>
      <w:r w:rsidRPr="00BE2A61">
        <w:t>online forms with input data validation rules</w:t>
      </w:r>
      <w:r w:rsidR="425CE580">
        <w:t xml:space="preserve"> and</w:t>
      </w:r>
      <w:r w:rsidRPr="00BE2A61">
        <w:t xml:space="preserve"> pre-population from authoritative sources (i.e., by reusing existing data).</w:t>
      </w:r>
    </w:p>
    <w:p w14:paraId="4CAFD3E1" w14:textId="0B8F0119" w:rsidR="00332191" w:rsidRDefault="6936675E" w:rsidP="009D7243">
      <w:pPr>
        <w:jc w:val="both"/>
      </w:pPr>
      <w:r w:rsidRPr="15E5BA73">
        <w:rPr>
          <w:b/>
          <w:bCs/>
        </w:rPr>
        <w:t>The</w:t>
      </w:r>
      <w:r w:rsidR="60EFC28B" w:rsidRPr="15E5BA73">
        <w:rPr>
          <w:b/>
          <w:bCs/>
        </w:rPr>
        <w:t xml:space="preserve"> </w:t>
      </w:r>
      <w:r w:rsidR="4FEE4EC9" w:rsidRPr="15E5BA73">
        <w:rPr>
          <w:b/>
          <w:bCs/>
        </w:rPr>
        <w:t xml:space="preserve">Once-Only Principle </w:t>
      </w:r>
      <w:r w:rsidRPr="15E5BA73">
        <w:rPr>
          <w:b/>
          <w:bCs/>
        </w:rPr>
        <w:t xml:space="preserve">can be </w:t>
      </w:r>
      <w:r w:rsidR="14C9ED36" w:rsidRPr="15E5BA73">
        <w:rPr>
          <w:b/>
          <w:bCs/>
        </w:rPr>
        <w:t xml:space="preserve">implemented </w:t>
      </w:r>
      <w:r w:rsidR="1D666ED8" w:rsidRPr="15E5BA73">
        <w:rPr>
          <w:b/>
          <w:bCs/>
        </w:rPr>
        <w:t xml:space="preserve">more effectively </w:t>
      </w:r>
      <w:r w:rsidR="6AA2973C" w:rsidRPr="15E5BA73">
        <w:rPr>
          <w:b/>
          <w:bCs/>
        </w:rPr>
        <w:t>by improving</w:t>
      </w:r>
      <w:r w:rsidR="5E12AEE7" w:rsidRPr="15E5BA73">
        <w:rPr>
          <w:b/>
          <w:bCs/>
        </w:rPr>
        <w:t xml:space="preserve"> the </w:t>
      </w:r>
      <w:r w:rsidR="325F057D" w:rsidRPr="15E5BA73">
        <w:rPr>
          <w:b/>
          <w:bCs/>
        </w:rPr>
        <w:t>interoperability</w:t>
      </w:r>
      <w:r w:rsidR="5E12AEE7" w:rsidRPr="15E5BA73">
        <w:rPr>
          <w:b/>
          <w:bCs/>
        </w:rPr>
        <w:t xml:space="preserve"> </w:t>
      </w:r>
      <w:r w:rsidR="5D97742D" w:rsidRPr="15E5BA73">
        <w:rPr>
          <w:b/>
          <w:bCs/>
        </w:rPr>
        <w:t>(data</w:t>
      </w:r>
      <w:r w:rsidR="4AAA3DD7" w:rsidRPr="15E5BA73">
        <w:rPr>
          <w:b/>
          <w:bCs/>
        </w:rPr>
        <w:t xml:space="preserve"> </w:t>
      </w:r>
      <w:r w:rsidR="5D97742D" w:rsidRPr="15E5BA73">
        <w:rPr>
          <w:b/>
          <w:bCs/>
        </w:rPr>
        <w:t xml:space="preserve">sharing) </w:t>
      </w:r>
      <w:r w:rsidR="5E12AEE7" w:rsidRPr="15E5BA73">
        <w:rPr>
          <w:b/>
          <w:bCs/>
        </w:rPr>
        <w:t>framework</w:t>
      </w:r>
      <w:r w:rsidR="4FEE4EC9" w:rsidRPr="15E5BA73">
        <w:rPr>
          <w:b/>
          <w:bCs/>
        </w:rPr>
        <w:t>.</w:t>
      </w:r>
      <w:r w:rsidR="4FEE4EC9">
        <w:t xml:space="preserve"> </w:t>
      </w:r>
      <w:r w:rsidR="43AE9E0B">
        <w:t xml:space="preserve">Both the Decree on Online Administrative Procedures and the Decree on Management, Connection, and Sharing of Digital Data of Regulatory Agencies </w:t>
      </w:r>
      <w:r w:rsidR="344E1919">
        <w:t xml:space="preserve">contain provisions </w:t>
      </w:r>
      <w:r w:rsidR="1F368AE1">
        <w:t xml:space="preserve">prescribing the </w:t>
      </w:r>
      <w:r w:rsidR="00D50037">
        <w:t>O</w:t>
      </w:r>
      <w:r w:rsidR="1F368AE1">
        <w:t>nce-</w:t>
      </w:r>
      <w:r w:rsidR="00D50037">
        <w:t>O</w:t>
      </w:r>
      <w:r w:rsidR="1F368AE1">
        <w:t xml:space="preserve">nly </w:t>
      </w:r>
      <w:r w:rsidR="00D50037">
        <w:t>P</w:t>
      </w:r>
      <w:r w:rsidR="1F368AE1">
        <w:t xml:space="preserve">rinciple.  </w:t>
      </w:r>
      <w:r w:rsidR="4FEE4EC9">
        <w:t xml:space="preserve">Although this is a step in the right direction, implementing the Once-Only Principle in regulatory delivery requires the development of a government interoperability framework (eGIF). </w:t>
      </w:r>
      <w:r w:rsidR="004D5165">
        <w:t>T</w:t>
      </w:r>
      <w:r w:rsidR="77C32B0E">
        <w:t xml:space="preserve">wo interoperability platforms have been introduced at the national level, </w:t>
      </w:r>
      <w:r w:rsidR="004D5165">
        <w:t xml:space="preserve">but </w:t>
      </w:r>
      <w:r w:rsidR="77C32B0E">
        <w:t xml:space="preserve">a well-defined interoperability framework is still missing. </w:t>
      </w:r>
      <w:r w:rsidR="0D6CF794">
        <w:t>The Decree on the M</w:t>
      </w:r>
      <w:r w:rsidR="1DDB85A6">
        <w:t xml:space="preserve">anagement, </w:t>
      </w:r>
      <w:r w:rsidR="0D6CF794">
        <w:t>C</w:t>
      </w:r>
      <w:r w:rsidR="1DDB85A6">
        <w:t xml:space="preserve">onnection, and </w:t>
      </w:r>
      <w:r w:rsidR="0D6CF794">
        <w:t>S</w:t>
      </w:r>
      <w:r w:rsidR="1DDB85A6">
        <w:t xml:space="preserve">haring of </w:t>
      </w:r>
      <w:r w:rsidR="0D6CF794">
        <w:t>D</w:t>
      </w:r>
      <w:r w:rsidR="1DDB85A6">
        <w:t xml:space="preserve">igital data of </w:t>
      </w:r>
      <w:r w:rsidR="0D6CF794">
        <w:t>R</w:t>
      </w:r>
      <w:r w:rsidR="1DDB85A6">
        <w:t xml:space="preserve">egulatory </w:t>
      </w:r>
      <w:r w:rsidR="0D6CF794">
        <w:t>A</w:t>
      </w:r>
      <w:r w:rsidR="1DDB85A6">
        <w:t xml:space="preserve">gencies introduces the concept of data </w:t>
      </w:r>
      <w:r w:rsidR="2BF29469">
        <w:t>sharing;</w:t>
      </w:r>
      <w:r w:rsidR="1DDB85A6">
        <w:t xml:space="preserve"> however, it does not include all the key elements required for a legal framework on the eGIF.</w:t>
      </w:r>
      <w:r w:rsidR="1DDB85A6" w:rsidRPr="15E5BA73">
        <w:rPr>
          <w:b/>
          <w:bCs/>
        </w:rPr>
        <w:t xml:space="preserve"> </w:t>
      </w:r>
      <w:r w:rsidR="4F41F2D1">
        <w:t xml:space="preserve">Some of the most notable weaknesses include the lack of a </w:t>
      </w:r>
      <w:r w:rsidR="48C23B93">
        <w:t>specific</w:t>
      </w:r>
      <w:r w:rsidR="4F41F2D1">
        <w:t xml:space="preserve"> policy that all government authorities must adhere to when sharing official data (e.g., through a government interoperability platform), the lack of mandatory standards and protocols such as data formats, and communication protocols, and the lack of mandatory policies for the governance, creation, and maintenance of semantic models.</w:t>
      </w:r>
      <w:r w:rsidR="5A8B20EF">
        <w:t xml:space="preserve"> As a result, data exchange remains a key challenge in </w:t>
      </w:r>
      <w:r w:rsidR="00947E52">
        <w:t xml:space="preserve">the </w:t>
      </w:r>
      <w:r w:rsidR="5A8B20EF">
        <w:t>public administration.</w:t>
      </w:r>
    </w:p>
    <w:p w14:paraId="5ECB8BF1" w14:textId="6C77895D" w:rsidR="003D299D" w:rsidRPr="009D7243" w:rsidRDefault="001E168C" w:rsidP="009D7243">
      <w:pPr>
        <w:jc w:val="both"/>
      </w:pPr>
      <w:r w:rsidRPr="000A05F8">
        <w:rPr>
          <w:b/>
          <w:bCs/>
        </w:rPr>
        <w:t xml:space="preserve">The lack of a centralized database for licenses represents </w:t>
      </w:r>
      <w:r w:rsidR="00ED06AA" w:rsidRPr="000A05F8">
        <w:rPr>
          <w:b/>
          <w:bCs/>
        </w:rPr>
        <w:t>a challenge for the implementation of risk-based approaches to licensing and inspections</w:t>
      </w:r>
      <w:r w:rsidR="00167CFE" w:rsidRPr="000A05F8">
        <w:rPr>
          <w:b/>
          <w:bCs/>
        </w:rPr>
        <w:t>.</w:t>
      </w:r>
      <w:r w:rsidR="003D299D" w:rsidRPr="009D7243">
        <w:rPr>
          <w:b/>
        </w:rPr>
        <w:t xml:space="preserve"> </w:t>
      </w:r>
      <w:r w:rsidR="00947E52">
        <w:rPr>
          <w:bCs/>
        </w:rPr>
        <w:t>D</w:t>
      </w:r>
      <w:r w:rsidR="003D299D" w:rsidRPr="009D7243">
        <w:rPr>
          <w:bCs/>
        </w:rPr>
        <w:t xml:space="preserve">atabases of issued business licenses may exist at </w:t>
      </w:r>
      <w:r w:rsidR="1090C824">
        <w:t>various</w:t>
      </w:r>
      <w:r w:rsidR="003D299D" w:rsidRPr="009D7243">
        <w:rPr>
          <w:bCs/>
        </w:rPr>
        <w:t xml:space="preserve"> levels of government, but the </w:t>
      </w:r>
      <w:r w:rsidR="00CB3EBF">
        <w:rPr>
          <w:bCs/>
        </w:rPr>
        <w:t>m</w:t>
      </w:r>
      <w:r w:rsidR="00CB3EBF" w:rsidRPr="009D7243">
        <w:rPr>
          <w:bCs/>
        </w:rPr>
        <w:t xml:space="preserve">inistries </w:t>
      </w:r>
      <w:r w:rsidR="003D299D" w:rsidRPr="009D7243">
        <w:rPr>
          <w:bCs/>
        </w:rPr>
        <w:t xml:space="preserve">interviewed do not seem to maintain central registries of issued licenses. Therefore, there are no consolidated registries in each </w:t>
      </w:r>
      <w:r w:rsidR="00CB3EBF">
        <w:rPr>
          <w:bCs/>
        </w:rPr>
        <w:t>m</w:t>
      </w:r>
      <w:r w:rsidR="00CB3EBF" w:rsidRPr="009D7243">
        <w:rPr>
          <w:bCs/>
        </w:rPr>
        <w:t xml:space="preserve">inistry </w:t>
      </w:r>
      <w:r w:rsidR="003D299D" w:rsidRPr="009D7243">
        <w:rPr>
          <w:bCs/>
        </w:rPr>
        <w:t xml:space="preserve">(or a data warehouse) that identify all the licenses issued to businesses </w:t>
      </w:r>
      <w:r w:rsidR="003D299D" w:rsidRPr="009D7243">
        <w:t>– with potential data exchange from implementing agencies up to line ministries. While APCA</w:t>
      </w:r>
      <w:r w:rsidR="008403E1">
        <w:t>/OOG</w:t>
      </w:r>
      <w:r w:rsidR="003D299D" w:rsidRPr="009D7243">
        <w:t xml:space="preserve"> may be informed of these licenses and inspections through its monitoring of service standards and KPIs, it is unclear if the information exchanged with APCA</w:t>
      </w:r>
      <w:r w:rsidR="00963303">
        <w:t>/OOG</w:t>
      </w:r>
      <w:r w:rsidR="003D299D" w:rsidRPr="009D7243">
        <w:t xml:space="preserve"> could be utilized to create a data warehouse and implement data analytics</w:t>
      </w:r>
      <w:r w:rsidR="00F06AE9">
        <w:t xml:space="preserve"> or e</w:t>
      </w:r>
      <w:r w:rsidR="00A77CE4">
        <w:t>v</w:t>
      </w:r>
      <w:r w:rsidR="00F06AE9">
        <w:t>en AI</w:t>
      </w:r>
      <w:r w:rsidR="003D299D" w:rsidRPr="009D7243">
        <w:t xml:space="preserve"> to inform cross-sectoral risk management or planning of shared inspections. </w:t>
      </w:r>
    </w:p>
    <w:p w14:paraId="46B2055D" w14:textId="0D1270CF" w:rsidR="007E2BD7" w:rsidRPr="00993AA3" w:rsidRDefault="6F530AEF" w:rsidP="009D7243">
      <w:pPr>
        <w:jc w:val="both"/>
      </w:pPr>
      <w:r w:rsidRPr="15E5BA73">
        <w:rPr>
          <w:b/>
          <w:bCs/>
        </w:rPr>
        <w:t xml:space="preserve">Viet Nam has achieved significant progress in other horizontal </w:t>
      </w:r>
      <w:r w:rsidR="7E372DE5" w:rsidRPr="15E5BA73">
        <w:rPr>
          <w:b/>
          <w:bCs/>
        </w:rPr>
        <w:t>eGovernment developments</w:t>
      </w:r>
      <w:r w:rsidRPr="15E5BA73">
        <w:rPr>
          <w:b/>
          <w:bCs/>
        </w:rPr>
        <w:t xml:space="preserve"> to enable digital government to business services (G2B). </w:t>
      </w:r>
      <w:r w:rsidR="7E372DE5">
        <w:t xml:space="preserve">Viet Nam </w:t>
      </w:r>
      <w:r w:rsidR="002F6A41">
        <w:t xml:space="preserve">has </w:t>
      </w:r>
      <w:r w:rsidR="7E372DE5">
        <w:t>accomplished penetration of digital certificates for all (formal) businesses, and digital identity</w:t>
      </w:r>
      <w:r w:rsidR="002F6A41">
        <w:t xml:space="preserve"> for individuals</w:t>
      </w:r>
      <w:r w:rsidR="7E372DE5">
        <w:t xml:space="preserve"> (VNeID per Decree 59/2022/ND-CP). </w:t>
      </w:r>
      <w:r w:rsidR="4D76C6D7">
        <w:t xml:space="preserve">Interviewed stakeholders </w:t>
      </w:r>
      <w:r w:rsidR="3E04A25B">
        <w:t>mention that all businesses can carry out tax pr</w:t>
      </w:r>
      <w:r w:rsidR="447777F6">
        <w:t>o</w:t>
      </w:r>
      <w:r w:rsidR="3E04A25B">
        <w:t xml:space="preserve">cedures </w:t>
      </w:r>
      <w:r w:rsidR="447777F6">
        <w:t>online.</w:t>
      </w:r>
      <w:r w:rsidR="4D76C6D7">
        <w:t xml:space="preserve"> </w:t>
      </w:r>
      <w:r w:rsidR="4180B6EE">
        <w:t xml:space="preserve">The Ministry of Planning and Investment’s Agency for Business Registration (ABR) is currently revising the legal provisions to </w:t>
      </w:r>
      <w:r w:rsidR="447777F6">
        <w:t xml:space="preserve">share </w:t>
      </w:r>
      <w:r w:rsidR="4180B6EE">
        <w:t xml:space="preserve">legal entity information </w:t>
      </w:r>
      <w:r w:rsidR="640947B7">
        <w:t xml:space="preserve">between ABR and </w:t>
      </w:r>
      <w:r w:rsidR="4180B6EE">
        <w:t xml:space="preserve">other </w:t>
      </w:r>
      <w:r w:rsidR="640947B7">
        <w:t>authorities</w:t>
      </w:r>
      <w:r w:rsidR="60733BA8">
        <w:t>,</w:t>
      </w:r>
      <w:r w:rsidR="4180B6EE">
        <w:t xml:space="preserve"> which will enable the </w:t>
      </w:r>
      <w:r w:rsidR="60733BA8">
        <w:lastRenderedPageBreak/>
        <w:t>Once-Only Principle</w:t>
      </w:r>
      <w:r w:rsidR="4180B6EE">
        <w:t xml:space="preserve"> for legal entities when applying for business licenses</w:t>
      </w:r>
      <w:r w:rsidR="7E9288AA">
        <w:t xml:space="preserve"> and accessing G2B services</w:t>
      </w:r>
      <w:r w:rsidR="4180B6EE">
        <w:t xml:space="preserve">. </w:t>
      </w:r>
      <w:r w:rsidR="7E372DE5">
        <w:t>The digital payment infrastructure is developed and supports several digital payment options</w:t>
      </w:r>
      <w:r w:rsidR="2EAC435C">
        <w:t xml:space="preserve"> for users to pay taxes and service fees</w:t>
      </w:r>
      <w:r w:rsidR="7E372DE5">
        <w:t>.</w:t>
      </w:r>
    </w:p>
    <w:p w14:paraId="79CA5AEA" w14:textId="77777777" w:rsidR="007933DA" w:rsidRPr="00993AA3" w:rsidRDefault="007933DA" w:rsidP="009D7243">
      <w:pPr>
        <w:jc w:val="both"/>
      </w:pPr>
    </w:p>
    <w:p w14:paraId="620D3821" w14:textId="77777777" w:rsidR="00171DB1" w:rsidRDefault="00171DB1" w:rsidP="00CC0BF8">
      <w:pPr>
        <w:pStyle w:val="paragraph"/>
        <w:spacing w:before="0" w:beforeAutospacing="0" w:after="0" w:afterAutospacing="0"/>
        <w:jc w:val="both"/>
        <w:textAlignment w:val="baseline"/>
        <w:rPr>
          <w:rStyle w:val="normaltextrun"/>
          <w:rFonts w:ascii="Calibri" w:eastAsiaTheme="majorEastAsia" w:hAnsi="Calibri" w:cs="Calibri"/>
          <w:b/>
          <w:bCs/>
          <w:sz w:val="22"/>
          <w:szCs w:val="22"/>
        </w:rPr>
      </w:pPr>
    </w:p>
    <w:p w14:paraId="4B406B0D" w14:textId="0229137B" w:rsidR="00AB3DF9" w:rsidRDefault="00AB3DF9" w:rsidP="00382231">
      <w:pPr>
        <w:jc w:val="both"/>
        <w:rPr>
          <w:i/>
          <w:iCs/>
        </w:rPr>
      </w:pPr>
      <w:r>
        <w:rPr>
          <w:i/>
          <w:iCs/>
        </w:rPr>
        <w:br w:type="page"/>
      </w:r>
    </w:p>
    <w:p w14:paraId="19E2160F" w14:textId="7CDCFF1E" w:rsidR="00AB3DF9" w:rsidRPr="00AA6635" w:rsidRDefault="00333E91" w:rsidP="00AA6635">
      <w:pPr>
        <w:pStyle w:val="Heading1"/>
      </w:pPr>
      <w:bookmarkStart w:id="22" w:name="_Toc175228086"/>
      <w:r>
        <w:lastRenderedPageBreak/>
        <w:t>Conclusion and policy recommendations</w:t>
      </w:r>
      <w:r w:rsidR="00AB3DF9" w:rsidRPr="00E23EE6">
        <w:t xml:space="preserve">: </w:t>
      </w:r>
      <w:r>
        <w:t xml:space="preserve">toward </w:t>
      </w:r>
      <w:r w:rsidR="00AB3DF9" w:rsidRPr="00E23EE6">
        <w:t>next generation regulatory reforms</w:t>
      </w:r>
      <w:bookmarkEnd w:id="22"/>
    </w:p>
    <w:p w14:paraId="5B2126EE" w14:textId="177E74AB" w:rsidR="4DA8FE4C" w:rsidRPr="00AA6635" w:rsidRDefault="000A29D5" w:rsidP="000A29D5">
      <w:pPr>
        <w:tabs>
          <w:tab w:val="left" w:pos="3467"/>
        </w:tabs>
      </w:pPr>
      <w:r>
        <w:tab/>
      </w:r>
    </w:p>
    <w:p w14:paraId="13EA3928" w14:textId="214B2C38" w:rsidR="5E034D7E" w:rsidRDefault="129C6196" w:rsidP="15E5BA73">
      <w:pPr>
        <w:jc w:val="both"/>
      </w:pPr>
      <w:r w:rsidRPr="15E5BA73">
        <w:rPr>
          <w:b/>
          <w:bCs/>
        </w:rPr>
        <w:t>Viet Nam</w:t>
      </w:r>
      <w:r w:rsidR="00597723">
        <w:rPr>
          <w:b/>
          <w:bCs/>
        </w:rPr>
        <w:t>’s</w:t>
      </w:r>
      <w:r w:rsidR="000A29D5">
        <w:rPr>
          <w:b/>
          <w:bCs/>
        </w:rPr>
        <w:t xml:space="preserve"> authorities have taken steps to </w:t>
      </w:r>
      <w:r w:rsidR="4ED564B8" w:rsidRPr="15E5BA73">
        <w:rPr>
          <w:b/>
          <w:bCs/>
        </w:rPr>
        <w:t xml:space="preserve">improve its business environment, promote private investment and </w:t>
      </w:r>
      <w:r w:rsidR="000A29D5">
        <w:rPr>
          <w:b/>
          <w:bCs/>
        </w:rPr>
        <w:t xml:space="preserve">accelerate </w:t>
      </w:r>
      <w:r w:rsidR="4ED564B8" w:rsidRPr="15E5BA73">
        <w:rPr>
          <w:b/>
          <w:bCs/>
        </w:rPr>
        <w:t>productivity growth.</w:t>
      </w:r>
      <w:r w:rsidR="000A29D5">
        <w:rPr>
          <w:b/>
          <w:bCs/>
        </w:rPr>
        <w:t xml:space="preserve"> </w:t>
      </w:r>
      <w:r w:rsidR="000A29D5">
        <w:t>Resolution 68, which aims to simplify the regulatory environment, has been one of the government’s priority measures to improve the business environment. However, f</w:t>
      </w:r>
      <w:r w:rsidR="138EC801" w:rsidRPr="00AA6635">
        <w:t>irm</w:t>
      </w:r>
      <w:r w:rsidR="000A29D5">
        <w:t>-</w:t>
      </w:r>
      <w:r w:rsidR="138EC801" w:rsidRPr="00AA6635">
        <w:t>level</w:t>
      </w:r>
      <w:r w:rsidR="138EC801" w:rsidRPr="15E5BA73">
        <w:rPr>
          <w:b/>
          <w:bCs/>
        </w:rPr>
        <w:t xml:space="preserve"> </w:t>
      </w:r>
      <w:r w:rsidR="138EC801">
        <w:t>analysis</w:t>
      </w:r>
      <w:r w:rsidR="00CD3F50">
        <w:t>, review of business regulations and benchmarking with intern</w:t>
      </w:r>
      <w:r w:rsidR="006F7338">
        <w:t>ational best practices</w:t>
      </w:r>
      <w:r w:rsidR="138EC801">
        <w:t xml:space="preserve"> </w:t>
      </w:r>
      <w:r w:rsidR="000A29D5">
        <w:t xml:space="preserve">suggest </w:t>
      </w:r>
      <w:r w:rsidR="138EC801">
        <w:t>that further re</w:t>
      </w:r>
      <w:r w:rsidR="04181999">
        <w:t xml:space="preserve">forms are needed, </w:t>
      </w:r>
      <w:r w:rsidR="000A29D5">
        <w:t xml:space="preserve">especially those </w:t>
      </w:r>
      <w:r w:rsidR="04181999">
        <w:t>targeted at removing barriers to investment</w:t>
      </w:r>
      <w:r w:rsidR="5B66D1A2">
        <w:t xml:space="preserve">, </w:t>
      </w:r>
      <w:r w:rsidR="00FC18B6">
        <w:t>innovation,</w:t>
      </w:r>
      <w:r w:rsidR="04181999">
        <w:t xml:space="preserve"> and firm growth</w:t>
      </w:r>
      <w:r w:rsidR="5CDD7E26">
        <w:t xml:space="preserve">. Reforms are also </w:t>
      </w:r>
      <w:r w:rsidR="4AF6DC45">
        <w:t xml:space="preserve">necessary </w:t>
      </w:r>
      <w:r w:rsidR="5CDD7E26">
        <w:t xml:space="preserve">to improve the efficiency and quality of government-to-business </w:t>
      </w:r>
      <w:r w:rsidR="000937AF">
        <w:t xml:space="preserve">G2B </w:t>
      </w:r>
      <w:r w:rsidR="22B1D4EA">
        <w:t>services and</w:t>
      </w:r>
      <w:r w:rsidR="71F33007">
        <w:t xml:space="preserve"> reduce the discretion in</w:t>
      </w:r>
      <w:r w:rsidR="006A2906">
        <w:t xml:space="preserve"> the</w:t>
      </w:r>
      <w:r w:rsidR="71F33007">
        <w:t xml:space="preserve"> provision of </w:t>
      </w:r>
      <w:r w:rsidR="1C8CA591">
        <w:t xml:space="preserve">public </w:t>
      </w:r>
      <w:r w:rsidR="71F33007">
        <w:t>services</w:t>
      </w:r>
      <w:r w:rsidR="368F058B">
        <w:t xml:space="preserve">. </w:t>
      </w:r>
    </w:p>
    <w:p w14:paraId="299A0C26" w14:textId="413F8BBF" w:rsidR="00CC0629" w:rsidRDefault="00CC0629" w:rsidP="00CC0629">
      <w:pPr>
        <w:jc w:val="both"/>
      </w:pPr>
      <w:r w:rsidRPr="0088516D">
        <w:rPr>
          <w:b/>
          <w:bCs/>
        </w:rPr>
        <w:t xml:space="preserve">This section discusses opportunities to strengthen Viet Nam’s current regulatory reform program in the short term and to evolve in the medium term </w:t>
      </w:r>
      <w:r w:rsidR="771859A5" w:rsidRPr="4DA8FE4C">
        <w:rPr>
          <w:b/>
          <w:bCs/>
        </w:rPr>
        <w:t>to</w:t>
      </w:r>
      <w:r w:rsidRPr="0088516D">
        <w:rPr>
          <w:b/>
          <w:bCs/>
        </w:rPr>
        <w:t xml:space="preserve"> deliver greater impact, in line with the changing country and global context.</w:t>
      </w:r>
      <w:r>
        <w:t xml:space="preserve"> </w:t>
      </w:r>
    </w:p>
    <w:p w14:paraId="1717BED4" w14:textId="4265360B" w:rsidR="00333E91" w:rsidRDefault="3A9E777F" w:rsidP="15E5BA73">
      <w:pPr>
        <w:jc w:val="both"/>
      </w:pPr>
      <w:r w:rsidRPr="15E5BA73">
        <w:rPr>
          <w:rStyle w:val="normaltextrun"/>
          <w:rFonts w:ascii="Calibri" w:eastAsiaTheme="majorEastAsia" w:hAnsi="Calibri" w:cs="Calibri"/>
          <w:b/>
          <w:bCs/>
        </w:rPr>
        <w:t xml:space="preserve">Resolution 68 </w:t>
      </w:r>
      <w:r w:rsidR="00D76D0F">
        <w:rPr>
          <w:rStyle w:val="normaltextrun"/>
          <w:rFonts w:ascii="Calibri" w:eastAsiaTheme="majorEastAsia" w:hAnsi="Calibri" w:cs="Calibri"/>
          <w:b/>
          <w:bCs/>
        </w:rPr>
        <w:t xml:space="preserve">achieved </w:t>
      </w:r>
      <w:r w:rsidR="004A5A64">
        <w:rPr>
          <w:rStyle w:val="normaltextrun"/>
          <w:rFonts w:ascii="Calibri" w:eastAsiaTheme="majorEastAsia" w:hAnsi="Calibri" w:cs="Calibri"/>
          <w:b/>
          <w:bCs/>
        </w:rPr>
        <w:t xml:space="preserve">noticeable </w:t>
      </w:r>
      <w:r w:rsidR="00D76D0F">
        <w:rPr>
          <w:rStyle w:val="normaltextrun"/>
          <w:rFonts w:ascii="Calibri" w:eastAsiaTheme="majorEastAsia" w:hAnsi="Calibri" w:cs="Calibri"/>
          <w:b/>
          <w:bCs/>
        </w:rPr>
        <w:t xml:space="preserve">results </w:t>
      </w:r>
      <w:r w:rsidRPr="15E5BA73">
        <w:rPr>
          <w:rStyle w:val="normaltextrun"/>
          <w:rFonts w:ascii="Calibri" w:eastAsiaTheme="majorEastAsia" w:hAnsi="Calibri" w:cs="Calibri"/>
          <w:b/>
          <w:bCs/>
        </w:rPr>
        <w:t xml:space="preserve">and follows principles of good regulatory </w:t>
      </w:r>
      <w:r w:rsidR="7DD12C5D" w:rsidRPr="15E5BA73">
        <w:rPr>
          <w:rStyle w:val="normaltextrun"/>
          <w:rFonts w:ascii="Calibri" w:eastAsiaTheme="majorEastAsia" w:hAnsi="Calibri" w:cs="Calibri"/>
          <w:b/>
          <w:bCs/>
        </w:rPr>
        <w:t xml:space="preserve">practice; </w:t>
      </w:r>
      <w:r w:rsidR="10CF0E39" w:rsidRPr="15E5BA73">
        <w:rPr>
          <w:rStyle w:val="normaltextrun"/>
          <w:rFonts w:ascii="Calibri" w:eastAsiaTheme="majorEastAsia" w:hAnsi="Calibri" w:cs="Calibri"/>
          <w:b/>
          <w:bCs/>
        </w:rPr>
        <w:t>however</w:t>
      </w:r>
      <w:r w:rsidR="00D010ED">
        <w:rPr>
          <w:rStyle w:val="normaltextrun"/>
          <w:rFonts w:ascii="Calibri" w:eastAsiaTheme="majorEastAsia" w:hAnsi="Calibri" w:cs="Calibri"/>
          <w:b/>
          <w:bCs/>
        </w:rPr>
        <w:t>,</w:t>
      </w:r>
      <w:r w:rsidR="10CF0E39" w:rsidRPr="15E5BA73">
        <w:rPr>
          <w:rStyle w:val="normaltextrun"/>
          <w:rFonts w:ascii="Calibri" w:eastAsiaTheme="majorEastAsia" w:hAnsi="Calibri" w:cs="Calibri"/>
          <w:b/>
          <w:bCs/>
        </w:rPr>
        <w:t xml:space="preserve"> </w:t>
      </w:r>
      <w:r w:rsidRPr="15E5BA73">
        <w:rPr>
          <w:rStyle w:val="normaltextrun"/>
          <w:rFonts w:ascii="Calibri" w:eastAsiaTheme="majorEastAsia" w:hAnsi="Calibri" w:cs="Calibri"/>
          <w:b/>
          <w:bCs/>
        </w:rPr>
        <w:t xml:space="preserve">its approach and implementation could </w:t>
      </w:r>
      <w:r w:rsidR="00D76D0F">
        <w:rPr>
          <w:rStyle w:val="normaltextrun"/>
          <w:rFonts w:ascii="Calibri" w:eastAsiaTheme="majorEastAsia" w:hAnsi="Calibri" w:cs="Calibri"/>
          <w:b/>
          <w:bCs/>
        </w:rPr>
        <w:t>evol</w:t>
      </w:r>
      <w:r w:rsidRPr="15E5BA73">
        <w:rPr>
          <w:rStyle w:val="normaltextrun"/>
          <w:rFonts w:ascii="Calibri" w:eastAsiaTheme="majorEastAsia" w:hAnsi="Calibri" w:cs="Calibri"/>
          <w:b/>
          <w:bCs/>
        </w:rPr>
        <w:t xml:space="preserve">ve to deliver a substantive improvement in regulatory formulation and delivery. </w:t>
      </w:r>
      <w:r w:rsidRPr="15E5BA73">
        <w:rPr>
          <w:rStyle w:val="normaltextrun"/>
          <w:rFonts w:ascii="Calibri" w:eastAsiaTheme="majorEastAsia" w:hAnsi="Calibri" w:cs="Calibri"/>
        </w:rPr>
        <w:t xml:space="preserve">Resolution 68 focuses on quantitative targets, i.e. the number of regulations reduced and simplified and compliance cost </w:t>
      </w:r>
      <w:r w:rsidR="004A11D1" w:rsidRPr="15E5BA73">
        <w:rPr>
          <w:rStyle w:val="normaltextrun"/>
          <w:rFonts w:ascii="Calibri" w:eastAsiaTheme="majorEastAsia" w:hAnsi="Calibri" w:cs="Calibri"/>
        </w:rPr>
        <w:t>reduction</w:t>
      </w:r>
      <w:r w:rsidR="00917925">
        <w:rPr>
          <w:rStyle w:val="normaltextrun"/>
          <w:rFonts w:ascii="Calibri" w:eastAsiaTheme="majorEastAsia" w:hAnsi="Calibri" w:cs="Calibri"/>
        </w:rPr>
        <w:t xml:space="preserve">. </w:t>
      </w:r>
      <w:r w:rsidR="00917925" w:rsidRPr="00917925">
        <w:rPr>
          <w:rStyle w:val="normaltextrun"/>
          <w:rFonts w:ascii="Calibri" w:eastAsiaTheme="majorEastAsia" w:hAnsi="Calibri" w:cs="Calibri"/>
        </w:rPr>
        <w:t xml:space="preserve">This approach follows previous waves of simplification of the regulatory stock in Viet Nam and proved effective as the country evolved from a command and control to an export-oriented, private sector-led economy.  </w:t>
      </w:r>
      <w:r w:rsidR="00917925">
        <w:rPr>
          <w:rStyle w:val="normaltextrun"/>
          <w:rFonts w:ascii="Calibri" w:eastAsiaTheme="majorEastAsia" w:hAnsi="Calibri" w:cs="Calibri"/>
        </w:rPr>
        <w:t xml:space="preserve">To reach its development objective of becoming a </w:t>
      </w:r>
      <w:r w:rsidR="00E07629">
        <w:rPr>
          <w:rStyle w:val="normaltextrun"/>
          <w:rFonts w:ascii="Calibri" w:eastAsiaTheme="majorEastAsia" w:hAnsi="Calibri" w:cs="Calibri"/>
        </w:rPr>
        <w:t>high-income</w:t>
      </w:r>
      <w:r w:rsidR="00917925">
        <w:rPr>
          <w:rStyle w:val="normaltextrun"/>
          <w:rFonts w:ascii="Calibri" w:eastAsiaTheme="majorEastAsia" w:hAnsi="Calibri" w:cs="Calibri"/>
        </w:rPr>
        <w:t xml:space="preserve"> country by 2045, Viet Nam needs to shift to high-value manufacturing and services, and boost the productivity of its domestic private sector by fostering entry and growth of innovative firms. This calls for a different approach to regulatory reform</w:t>
      </w:r>
      <w:r w:rsidR="00BE3457">
        <w:rPr>
          <w:rStyle w:val="normaltextrun"/>
          <w:rFonts w:ascii="Calibri" w:eastAsiaTheme="majorEastAsia" w:hAnsi="Calibri" w:cs="Calibri"/>
        </w:rPr>
        <w:t xml:space="preserve">, one that </w:t>
      </w:r>
      <w:r w:rsidR="00E07629">
        <w:rPr>
          <w:rStyle w:val="normaltextrun"/>
          <w:rFonts w:ascii="Calibri" w:eastAsiaTheme="majorEastAsia" w:hAnsi="Calibri" w:cs="Calibri"/>
        </w:rPr>
        <w:t>offers</w:t>
      </w:r>
      <w:r w:rsidR="00917925">
        <w:rPr>
          <w:rStyle w:val="normaltextrun"/>
          <w:rFonts w:ascii="Calibri" w:eastAsiaTheme="majorEastAsia" w:hAnsi="Calibri" w:cs="Calibri"/>
        </w:rPr>
        <w:t xml:space="preserve"> </w:t>
      </w:r>
      <w:r w:rsidR="00917925" w:rsidRPr="00917925">
        <w:rPr>
          <w:rStyle w:val="normaltextrun"/>
          <w:rFonts w:ascii="Calibri" w:eastAsiaTheme="majorEastAsia" w:hAnsi="Calibri" w:cs="Calibri"/>
        </w:rPr>
        <w:t xml:space="preserve">  </w:t>
      </w:r>
      <w:r w:rsidRPr="15E5BA73">
        <w:rPr>
          <w:rStyle w:val="normaltextrun"/>
          <w:rFonts w:ascii="Calibri" w:eastAsiaTheme="majorEastAsia" w:hAnsi="Calibri" w:cs="Calibri"/>
        </w:rPr>
        <w:t xml:space="preserve">a comprehensive vision of economic impact, digital transformation and regulatory delivery reform. </w:t>
      </w:r>
      <w:r w:rsidR="00783F4E">
        <w:rPr>
          <w:rStyle w:val="normaltextrun"/>
          <w:rFonts w:ascii="Calibri" w:eastAsiaTheme="majorEastAsia" w:hAnsi="Calibri" w:cs="Calibri"/>
        </w:rPr>
        <w:t>Resolution 68</w:t>
      </w:r>
      <w:r w:rsidRPr="15E5BA73">
        <w:rPr>
          <w:rStyle w:val="normaltextrun"/>
          <w:rFonts w:ascii="Calibri" w:eastAsiaTheme="majorEastAsia" w:hAnsi="Calibri" w:cs="Calibri"/>
        </w:rPr>
        <w:t xml:space="preserve"> prioritizes simplification of the regulatory stock (i.e., of existing regulations) and control of the regulatory flow (i.e., of new regulations), instead of an integrated approach towards streamlining, digitalization, and service integration centered on the experience of the firm</w:t>
      </w:r>
      <w:r w:rsidR="00166EA7">
        <w:rPr>
          <w:rStyle w:val="normaltextrun"/>
          <w:rFonts w:ascii="Calibri" w:eastAsiaTheme="majorEastAsia" w:hAnsi="Calibri" w:cs="Calibri"/>
        </w:rPr>
        <w:t>.</w:t>
      </w:r>
      <w:r w:rsidR="00333E91">
        <w:rPr>
          <w:rStyle w:val="FootnoteReference"/>
          <w:rFonts w:ascii="Calibri" w:eastAsiaTheme="majorEastAsia" w:hAnsi="Calibri" w:cs="Calibri"/>
        </w:rPr>
        <w:footnoteReference w:id="93"/>
      </w:r>
      <w:r w:rsidRPr="15E5BA73">
        <w:rPr>
          <w:rStyle w:val="normaltextrun"/>
          <w:rFonts w:ascii="Calibri" w:eastAsiaTheme="majorEastAsia" w:hAnsi="Calibri" w:cs="Calibri"/>
        </w:rPr>
        <w:t xml:space="preserve"> The current approach may be formalistic and incentivize government agencies to design improvements in silos along the lines of quantitative targets (i.e., number of regulations and compliance cost reduction), instead of a substantive and qualitative review of regulations from the perspective of the business. Finally, implementation is uneven across ministries, and despite well-defined institutional arrangements and monitoring mechanisms, gaps in information provision by ministries prevent an accurate assessment of progress towards its targets.  </w:t>
      </w:r>
    </w:p>
    <w:p w14:paraId="159E6F14" w14:textId="035C2C8B" w:rsidR="00CC0629" w:rsidRDefault="001B7117" w:rsidP="00CC0629">
      <w:pPr>
        <w:jc w:val="both"/>
      </w:pPr>
      <w:r w:rsidRPr="00D64CD6">
        <w:rPr>
          <w:b/>
          <w:bCs/>
        </w:rPr>
        <w:t>S</w:t>
      </w:r>
      <w:r w:rsidR="00CC0629" w:rsidRPr="00D64CD6">
        <w:rPr>
          <w:b/>
          <w:bCs/>
        </w:rPr>
        <w:t xml:space="preserve">everal </w:t>
      </w:r>
      <w:r w:rsidR="009C0275">
        <w:rPr>
          <w:b/>
          <w:bCs/>
        </w:rPr>
        <w:t xml:space="preserve">global </w:t>
      </w:r>
      <w:r w:rsidR="00CC0629" w:rsidRPr="00D64CD6">
        <w:rPr>
          <w:b/>
          <w:bCs/>
        </w:rPr>
        <w:t>trends</w:t>
      </w:r>
      <w:r w:rsidR="00C114ED" w:rsidRPr="00D64CD6">
        <w:rPr>
          <w:b/>
          <w:bCs/>
        </w:rPr>
        <w:t>, relevant to Viet Nam,</w:t>
      </w:r>
      <w:r w:rsidR="00CC0629" w:rsidRPr="00D64CD6">
        <w:rPr>
          <w:b/>
          <w:bCs/>
        </w:rPr>
        <w:t xml:space="preserve"> are shaping how countries approach regulatory policy. </w:t>
      </w:r>
      <w:r w:rsidR="00CC0629">
        <w:t xml:space="preserve">Accelerating technological change and availability of data, the need to quickly adapt to respond to crisis like the COVID-19 pandemic, climate change, changing trade and investment patterns, require governments to develop agile and user-centric regulations, maximize </w:t>
      </w:r>
      <w:r w:rsidR="00DD6F3A">
        <w:t xml:space="preserve">the use </w:t>
      </w:r>
      <w:r w:rsidR="006821C7">
        <w:t xml:space="preserve">of </w:t>
      </w:r>
      <w:r w:rsidR="00CC0629">
        <w:t>digital tools, and deploy flexible and coordinated approaches to regulatory reform (</w:t>
      </w:r>
      <w:r w:rsidR="000B3C4F">
        <w:t>Figure 14</w:t>
      </w:r>
      <w:r w:rsidR="00CC0629">
        <w:t xml:space="preserve">).  The following paragraphs discuss recommendations in the short and medium term for Viet Nam. </w:t>
      </w:r>
      <w:r w:rsidR="000568BD">
        <w:t xml:space="preserve">The </w:t>
      </w:r>
      <w:r w:rsidR="006B1D5C">
        <w:t xml:space="preserve">experience so far in Viet Nam with </w:t>
      </w:r>
      <w:r w:rsidR="006B1D5C">
        <w:lastRenderedPageBreak/>
        <w:t>the implementation of Resolution 68 can help other countries undertaking regulatory reform programs of business regulations (see Annex V).</w:t>
      </w:r>
    </w:p>
    <w:p w14:paraId="7A182090" w14:textId="41DD36CA" w:rsidR="00CC0629" w:rsidRDefault="00B45B4C" w:rsidP="15E5BA73">
      <w:pPr>
        <w:jc w:val="both"/>
        <w:rPr>
          <w:b/>
          <w:bCs/>
          <w:color w:val="4472C4" w:themeColor="accent1"/>
          <w:sz w:val="20"/>
          <w:szCs w:val="20"/>
        </w:rPr>
      </w:pPr>
      <w:r>
        <w:rPr>
          <w:noProof/>
        </w:rPr>
        <w:drawing>
          <wp:anchor distT="0" distB="0" distL="114300" distR="114300" simplePos="0" relativeHeight="251658240" behindDoc="0" locked="0" layoutInCell="1" allowOverlap="1" wp14:anchorId="3D73F0E7" wp14:editId="6AE3675F">
            <wp:simplePos x="0" y="0"/>
            <wp:positionH relativeFrom="margin">
              <wp:posOffset>745490</wp:posOffset>
            </wp:positionH>
            <wp:positionV relativeFrom="paragraph">
              <wp:posOffset>321945</wp:posOffset>
            </wp:positionV>
            <wp:extent cx="4966335" cy="3567430"/>
            <wp:effectExtent l="0" t="19050" r="24765" b="13970"/>
            <wp:wrapTopAndBottom/>
            <wp:docPr id="39" name="Diagram 39">
              <a:extLst xmlns:a="http://schemas.openxmlformats.org/drawingml/2006/main">
                <a:ext uri="{FF2B5EF4-FFF2-40B4-BE49-F238E27FC236}">
                  <a16:creationId xmlns:a16="http://schemas.microsoft.com/office/drawing/2014/main" id="{6BDF8128-DFE0-A3F0-B16D-CA580A35514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18C9E54A" w:rsidRPr="15E5BA73">
        <w:rPr>
          <w:b/>
          <w:bCs/>
          <w:color w:val="4472C4" w:themeColor="accent1"/>
          <w:sz w:val="20"/>
          <w:szCs w:val="20"/>
        </w:rPr>
        <w:t>Fi</w:t>
      </w:r>
      <w:r w:rsidR="22D681DF" w:rsidRPr="15E5BA73">
        <w:rPr>
          <w:b/>
          <w:bCs/>
          <w:color w:val="4472C4" w:themeColor="accent1"/>
          <w:sz w:val="20"/>
          <w:szCs w:val="20"/>
        </w:rPr>
        <w:t xml:space="preserve">gure </w:t>
      </w:r>
      <w:r w:rsidR="000B3C4F">
        <w:rPr>
          <w:b/>
          <w:bCs/>
          <w:color w:val="4472C4" w:themeColor="accent1"/>
          <w:sz w:val="20"/>
          <w:szCs w:val="20"/>
        </w:rPr>
        <w:t>14</w:t>
      </w:r>
      <w:r w:rsidR="18C9E54A" w:rsidRPr="15E5BA73">
        <w:rPr>
          <w:b/>
          <w:bCs/>
          <w:color w:val="4472C4" w:themeColor="accent1"/>
          <w:sz w:val="20"/>
          <w:szCs w:val="20"/>
        </w:rPr>
        <w:t>.</w:t>
      </w:r>
      <w:r w:rsidR="22D681DF" w:rsidRPr="15E5BA73">
        <w:rPr>
          <w:b/>
          <w:bCs/>
          <w:color w:val="4472C4" w:themeColor="accent1"/>
          <w:sz w:val="20"/>
          <w:szCs w:val="20"/>
        </w:rPr>
        <w:t xml:space="preserve"> Global trends shaping approaches to regulatory policy</w:t>
      </w:r>
    </w:p>
    <w:p w14:paraId="6E5F0D13" w14:textId="49DEC3F0" w:rsidR="000201B4" w:rsidRPr="001D176C" w:rsidRDefault="22D681DF" w:rsidP="15E5BA73">
      <w:pPr>
        <w:jc w:val="both"/>
        <w:rPr>
          <w:rFonts w:asciiTheme="majorHAnsi" w:hAnsiTheme="majorHAnsi" w:cstheme="majorBidi"/>
          <w:i/>
          <w:iCs/>
          <w:color w:val="7F7F7F" w:themeColor="text1" w:themeTint="80"/>
          <w:sz w:val="18"/>
          <w:szCs w:val="18"/>
        </w:rPr>
      </w:pPr>
      <w:r w:rsidRPr="15E5BA73">
        <w:rPr>
          <w:rFonts w:asciiTheme="majorHAnsi" w:hAnsiTheme="majorHAnsi" w:cstheme="majorBidi"/>
          <w:i/>
          <w:iCs/>
          <w:color w:val="7F7F7F" w:themeColor="text1" w:themeTint="80"/>
          <w:sz w:val="18"/>
          <w:szCs w:val="18"/>
        </w:rPr>
        <w:t xml:space="preserve">Source: </w:t>
      </w:r>
      <w:r w:rsidR="34BBD02E" w:rsidRPr="15E5BA73">
        <w:rPr>
          <w:rFonts w:asciiTheme="majorHAnsi" w:hAnsiTheme="majorHAnsi" w:cstheme="majorBidi"/>
          <w:i/>
          <w:iCs/>
          <w:color w:val="7F7F7F" w:themeColor="text1" w:themeTint="80"/>
          <w:sz w:val="18"/>
          <w:szCs w:val="18"/>
        </w:rPr>
        <w:t>A</w:t>
      </w:r>
      <w:r w:rsidRPr="15E5BA73">
        <w:rPr>
          <w:rFonts w:asciiTheme="majorHAnsi" w:hAnsiTheme="majorHAnsi" w:cstheme="majorBidi"/>
          <w:i/>
          <w:iCs/>
          <w:color w:val="7F7F7F" w:themeColor="text1" w:themeTint="80"/>
          <w:sz w:val="18"/>
          <w:szCs w:val="18"/>
        </w:rPr>
        <w:t>uthors, adapted from OECD (2021)</w:t>
      </w:r>
      <w:r w:rsidR="496F2CE8" w:rsidRPr="15E5BA73">
        <w:rPr>
          <w:rFonts w:asciiTheme="majorHAnsi" w:hAnsiTheme="majorHAnsi" w:cstheme="majorBidi"/>
          <w:i/>
          <w:iCs/>
          <w:color w:val="7F7F7F" w:themeColor="text1" w:themeTint="80"/>
          <w:sz w:val="18"/>
          <w:szCs w:val="18"/>
        </w:rPr>
        <w:t xml:space="preserve"> and Molfetas and Grava (2020)</w:t>
      </w:r>
      <w:r w:rsidR="0E8BED5F" w:rsidRPr="15E5BA73">
        <w:rPr>
          <w:rFonts w:asciiTheme="majorHAnsi" w:hAnsiTheme="majorHAnsi" w:cstheme="majorBidi"/>
          <w:i/>
          <w:iCs/>
          <w:color w:val="7F7F7F" w:themeColor="text1" w:themeTint="80"/>
          <w:sz w:val="18"/>
          <w:szCs w:val="18"/>
        </w:rPr>
        <w:t>.</w:t>
      </w:r>
    </w:p>
    <w:p w14:paraId="4F85807F" w14:textId="1B1221E4" w:rsidR="000201B4" w:rsidRDefault="24DB8907" w:rsidP="15E5BA73">
      <w:pPr>
        <w:pStyle w:val="Heading2"/>
        <w:numPr>
          <w:ilvl w:val="1"/>
          <w:numId w:val="14"/>
        </w:numPr>
        <w:spacing w:before="100" w:beforeAutospacing="1" w:after="100" w:afterAutospacing="1"/>
      </w:pPr>
      <w:bookmarkStart w:id="23" w:name="_Toc165896997"/>
      <w:bookmarkStart w:id="24" w:name="_Toc165897064"/>
      <w:bookmarkStart w:id="25" w:name="_Toc175228087"/>
      <w:bookmarkEnd w:id="23"/>
      <w:bookmarkEnd w:id="24"/>
      <w:r>
        <w:t>Short-term (</w:t>
      </w:r>
      <w:r w:rsidR="00DE2CF6">
        <w:t>2024-</w:t>
      </w:r>
      <w:r>
        <w:t xml:space="preserve">2025) – </w:t>
      </w:r>
      <w:r w:rsidR="18C9E54A">
        <w:t>mid</w:t>
      </w:r>
      <w:r>
        <w:t>-course adjustments to maximize impact of Resolution 68</w:t>
      </w:r>
      <w:bookmarkEnd w:id="25"/>
    </w:p>
    <w:p w14:paraId="792E0681" w14:textId="5BEC1CCF" w:rsidR="008820A2" w:rsidRDefault="00FB6B14" w:rsidP="008F7380">
      <w:pPr>
        <w:jc w:val="both"/>
      </w:pPr>
      <w:r w:rsidRPr="00FB6B14">
        <w:rPr>
          <w:b/>
          <w:bCs/>
        </w:rPr>
        <w:t>The following recommendations aim to strengthen the implementation of Resolution 68 in the remaining months of implementation.</w:t>
      </w:r>
      <w:r w:rsidRPr="00FB6B14">
        <w:t xml:space="preserve"> They </w:t>
      </w:r>
      <w:r w:rsidR="00B96231">
        <w:t>assume that</w:t>
      </w:r>
      <w:r w:rsidR="00B96231" w:rsidRPr="00FB6B14">
        <w:t xml:space="preserve"> </w:t>
      </w:r>
      <w:r w:rsidRPr="00FB6B14">
        <w:t xml:space="preserve">the regulatory program continues to be implemented </w:t>
      </w:r>
      <w:r w:rsidR="00953C88">
        <w:t xml:space="preserve">with </w:t>
      </w:r>
      <w:r w:rsidR="00953C88" w:rsidRPr="00FB6B14">
        <w:t xml:space="preserve">no major changes in resource availability for implementation </w:t>
      </w:r>
      <w:r w:rsidRPr="00FB6B14">
        <w:t>and propose improvements to increase results and strengthen monitoring</w:t>
      </w:r>
      <w:r w:rsidR="00953C88">
        <w:t>.</w:t>
      </w:r>
      <w:r w:rsidR="00B96231" w:rsidRPr="00FB6B14">
        <w:t xml:space="preserve"> </w:t>
      </w:r>
      <w:r w:rsidR="00CA4D17">
        <w:t xml:space="preserve"> </w:t>
      </w:r>
    </w:p>
    <w:p w14:paraId="451DF01C" w14:textId="563EEECC" w:rsidR="00490565" w:rsidRDefault="008820A2" w:rsidP="00CF13CA">
      <w:pPr>
        <w:pStyle w:val="Heading3"/>
        <w:spacing w:before="100" w:beforeAutospacing="1" w:after="100" w:afterAutospacing="1"/>
      </w:pPr>
      <w:r>
        <w:t>Priori</w:t>
      </w:r>
      <w:r w:rsidR="000F2488">
        <w:t xml:space="preserve">tize resources in areas with </w:t>
      </w:r>
      <w:r w:rsidR="24F727C3">
        <w:t xml:space="preserve">the </w:t>
      </w:r>
      <w:r w:rsidR="000F2488">
        <w:t>highest likelihood of results</w:t>
      </w:r>
      <w:r w:rsidR="00833CD2">
        <w:t>.</w:t>
      </w:r>
    </w:p>
    <w:p w14:paraId="653230B8" w14:textId="023410C1" w:rsidR="0058078A" w:rsidRPr="0064533A" w:rsidRDefault="625BB287" w:rsidP="000C31F1">
      <w:pPr>
        <w:jc w:val="both"/>
      </w:pPr>
      <w:r w:rsidRPr="00AA6635">
        <w:rPr>
          <w:b/>
          <w:bCs/>
        </w:rPr>
        <w:t xml:space="preserve">To maximize results, setting priorities </w:t>
      </w:r>
      <w:r w:rsidR="004312FF" w:rsidRPr="00623B2C">
        <w:rPr>
          <w:b/>
          <w:bCs/>
        </w:rPr>
        <w:t>to simplify and reduce regulations</w:t>
      </w:r>
      <w:r w:rsidR="004312FF" w:rsidRPr="004312FF">
        <w:rPr>
          <w:b/>
          <w:bCs/>
        </w:rPr>
        <w:t xml:space="preserve"> </w:t>
      </w:r>
      <w:r w:rsidRPr="00AA6635">
        <w:rPr>
          <w:b/>
          <w:bCs/>
        </w:rPr>
        <w:t xml:space="preserve">could </w:t>
      </w:r>
      <w:r w:rsidR="004312FF">
        <w:rPr>
          <w:b/>
          <w:bCs/>
        </w:rPr>
        <w:t>help</w:t>
      </w:r>
      <w:r w:rsidR="004312FF" w:rsidRPr="00AA6635">
        <w:rPr>
          <w:b/>
          <w:bCs/>
        </w:rPr>
        <w:t xml:space="preserve"> </w:t>
      </w:r>
      <w:r w:rsidRPr="00AA6635">
        <w:rPr>
          <w:b/>
          <w:bCs/>
        </w:rPr>
        <w:t>deliver substantive improvements for businesses</w:t>
      </w:r>
      <w:r>
        <w:t xml:space="preserve">. </w:t>
      </w:r>
      <w:r w:rsidR="0048370F">
        <w:t xml:space="preserve">The government, via APCA/OOG could define criteria </w:t>
      </w:r>
      <w:r w:rsidR="00151BF7">
        <w:t xml:space="preserve">to </w:t>
      </w:r>
      <w:r w:rsidR="00E631F1">
        <w:t xml:space="preserve">prioritize specific </w:t>
      </w:r>
      <w:r w:rsidR="00597A48">
        <w:t>sectors or business activities offering opportunities to reduce the regulatory burden</w:t>
      </w:r>
      <w:r w:rsidR="00DC0436">
        <w:t xml:space="preserve">. </w:t>
      </w:r>
      <w:r w:rsidR="00927790">
        <w:t xml:space="preserve">In the short term, the prioritization </w:t>
      </w:r>
      <w:r w:rsidR="00693619">
        <w:t>of regulations for reform could follow simple criteria</w:t>
      </w:r>
      <w:r w:rsidR="00416DF7">
        <w:t>, such as</w:t>
      </w:r>
      <w:r w:rsidR="000349EA">
        <w:t>: i)</w:t>
      </w:r>
      <w:r w:rsidR="000C1EB2">
        <w:t xml:space="preserve">focus on </w:t>
      </w:r>
      <w:r w:rsidR="000349EA">
        <w:t xml:space="preserve">export-oriented and </w:t>
      </w:r>
      <w:r w:rsidR="007C0F69">
        <w:t xml:space="preserve">strategic </w:t>
      </w:r>
      <w:r w:rsidR="00AB352B">
        <w:t>sectors for productivity growth</w:t>
      </w:r>
      <w:r w:rsidR="00430C5F">
        <w:t xml:space="preserve">; ii) </w:t>
      </w:r>
      <w:r w:rsidR="000C1EB2">
        <w:t>focus on</w:t>
      </w:r>
      <w:r w:rsidR="00D5128E">
        <w:t xml:space="preserve"> burdensome regulations based on available data </w:t>
      </w:r>
      <w:r w:rsidR="00AB352B">
        <w:t xml:space="preserve">and </w:t>
      </w:r>
      <w:r w:rsidR="0095668D">
        <w:t xml:space="preserve">private sector </w:t>
      </w:r>
      <w:r w:rsidR="00AB352B">
        <w:t xml:space="preserve">feedback </w:t>
      </w:r>
      <w:r w:rsidR="0095668D">
        <w:t xml:space="preserve">on regulatory burdens (e.g. from </w:t>
      </w:r>
      <w:r>
        <w:t>business surveys</w:t>
      </w:r>
      <w:r w:rsidR="00F862A4">
        <w:t xml:space="preserve"> such as APCI</w:t>
      </w:r>
      <w:r>
        <w:t xml:space="preserve"> and </w:t>
      </w:r>
      <w:r>
        <w:lastRenderedPageBreak/>
        <w:t>consultations with business associations</w:t>
      </w:r>
      <w:r w:rsidR="0095668D">
        <w:t>)</w:t>
      </w:r>
      <w:r w:rsidR="008D639D">
        <w:t>;</w:t>
      </w:r>
      <w:r w:rsidR="006567A6">
        <w:rPr>
          <w:rStyle w:val="FootnoteReference"/>
        </w:rPr>
        <w:footnoteReference w:id="94"/>
      </w:r>
      <w:r w:rsidR="008D639D">
        <w:t xml:space="preserve"> and iii) </w:t>
      </w:r>
      <w:r w:rsidR="00E52E74">
        <w:t>focus APCA/OOG involvement in areas</w:t>
      </w:r>
      <w:r w:rsidR="00314511">
        <w:t xml:space="preserve"> that re</w:t>
      </w:r>
      <w:r w:rsidR="00803D35">
        <w:t>quite</w:t>
      </w:r>
      <w:r w:rsidR="00876D17">
        <w:t xml:space="preserve"> </w:t>
      </w:r>
      <w:r w:rsidR="00382307">
        <w:t>facilitating inter-agency coordination</w:t>
      </w:r>
      <w:r w:rsidR="00803D35">
        <w:t xml:space="preserve"> (e.g. to clarify mandates and reduce regulatory overlap)</w:t>
      </w:r>
      <w:r>
        <w:t xml:space="preserve">. </w:t>
      </w:r>
      <w:r w:rsidR="00803D35">
        <w:t xml:space="preserve">A </w:t>
      </w:r>
      <w:r w:rsidR="00BE5D4A">
        <w:t xml:space="preserve">sectoral focus </w:t>
      </w:r>
      <w:r>
        <w:t xml:space="preserve">would allow easier coordination and synergies, compared to selecting individual regulations for reform. </w:t>
      </w:r>
    </w:p>
    <w:p w14:paraId="5183F855" w14:textId="46FE188B" w:rsidR="0058078A" w:rsidRPr="0058078A" w:rsidRDefault="0058078A" w:rsidP="000C31F1">
      <w:pPr>
        <w:jc w:val="both"/>
      </w:pPr>
      <w:r w:rsidRPr="00AA6635">
        <w:rPr>
          <w:b/>
        </w:rPr>
        <w:t>Due to limited resources, another prioritization criteria could be the level of engagement of specific</w:t>
      </w:r>
      <w:r w:rsidRPr="0058078A">
        <w:rPr>
          <w:b/>
          <w:bCs/>
        </w:rPr>
        <w:t xml:space="preserve"> </w:t>
      </w:r>
      <w:r w:rsidR="006A7FA4" w:rsidRPr="00AA6635">
        <w:rPr>
          <w:b/>
        </w:rPr>
        <w:t>ministries</w:t>
      </w:r>
      <w:r w:rsidRPr="0058078A">
        <w:rPr>
          <w:b/>
          <w:bCs/>
        </w:rPr>
        <w:t>.</w:t>
      </w:r>
      <w:r w:rsidRPr="0058078A">
        <w:t xml:space="preserve"> Section III explained how a few </w:t>
      </w:r>
      <w:r w:rsidR="006A7FA4">
        <w:t>m</w:t>
      </w:r>
      <w:r w:rsidR="006A7FA4" w:rsidRPr="0058078A">
        <w:t xml:space="preserve">inistries </w:t>
      </w:r>
      <w:r w:rsidR="00161A13">
        <w:t>accounted for</w:t>
      </w:r>
      <w:r w:rsidR="00161A13" w:rsidRPr="0058078A">
        <w:t xml:space="preserve"> </w:t>
      </w:r>
      <w:r w:rsidRPr="0058078A">
        <w:t>over half of the legal instruments to simplify or reduce</w:t>
      </w:r>
      <w:r w:rsidR="006A7FA4">
        <w:t xml:space="preserve"> business</w:t>
      </w:r>
      <w:r w:rsidRPr="0058078A">
        <w:t xml:space="preserve"> regulations. This suggests a more proactive and committed attitude in these </w:t>
      </w:r>
      <w:r w:rsidR="00240B38">
        <w:t>m</w:t>
      </w:r>
      <w:r w:rsidRPr="0058078A">
        <w:t>inistries</w:t>
      </w:r>
      <w:r w:rsidR="00F65AE6">
        <w:t>. This</w:t>
      </w:r>
      <w:r w:rsidRPr="0058078A">
        <w:t xml:space="preserve"> may offer opportunities to identify additional business regulations under their </w:t>
      </w:r>
      <w:r w:rsidR="00094E33" w:rsidRPr="0058078A">
        <w:t>authority</w:t>
      </w:r>
      <w:r w:rsidRPr="0058078A">
        <w:t xml:space="preserve"> in need for simplification or elimination, and deeper collaboration between these </w:t>
      </w:r>
      <w:r w:rsidR="006A7FA4">
        <w:t>m</w:t>
      </w:r>
      <w:r w:rsidR="006A7FA4" w:rsidRPr="0058078A">
        <w:t xml:space="preserve">inistries </w:t>
      </w:r>
      <w:r w:rsidRPr="0058078A">
        <w:t xml:space="preserve">and APCA/OOG </w:t>
      </w:r>
      <w:r w:rsidR="001F28AE">
        <w:t>for updating</w:t>
      </w:r>
      <w:r w:rsidRPr="0058078A">
        <w:t xml:space="preserve"> information on business regulations and compliance costs. Showcasing progress in a specific sector under the leadership of the most engaged </w:t>
      </w:r>
      <w:r w:rsidR="006A7FA4">
        <w:t>m</w:t>
      </w:r>
      <w:r w:rsidR="006A7FA4" w:rsidRPr="0058078A">
        <w:t xml:space="preserve">inistries </w:t>
      </w:r>
      <w:r w:rsidRPr="0058078A">
        <w:t xml:space="preserve">may create momentum for other </w:t>
      </w:r>
      <w:r w:rsidR="006A7FA4">
        <w:t>m</w:t>
      </w:r>
      <w:r w:rsidR="006A7FA4" w:rsidRPr="0058078A">
        <w:t xml:space="preserve">inistries </w:t>
      </w:r>
      <w:r w:rsidRPr="0058078A">
        <w:t>to engage</w:t>
      </w:r>
      <w:r w:rsidR="006A7FA4">
        <w:t xml:space="preserve"> more actively</w:t>
      </w:r>
      <w:r w:rsidRPr="0058078A">
        <w:t>.</w:t>
      </w:r>
    </w:p>
    <w:p w14:paraId="4EDAA786" w14:textId="40A35FEB" w:rsidR="0058078A" w:rsidRPr="0058078A" w:rsidRDefault="0058078A" w:rsidP="000C31F1">
      <w:pPr>
        <w:jc w:val="both"/>
      </w:pPr>
      <w:r w:rsidRPr="00AA6635">
        <w:rPr>
          <w:b/>
        </w:rPr>
        <w:t xml:space="preserve">Finally, attention from APCA/OOG </w:t>
      </w:r>
      <w:r w:rsidR="009A5E17" w:rsidRPr="00AA6635">
        <w:rPr>
          <w:b/>
        </w:rPr>
        <w:t xml:space="preserve">in 2024-2025 </w:t>
      </w:r>
      <w:r w:rsidRPr="00AA6635">
        <w:rPr>
          <w:b/>
        </w:rPr>
        <w:t>could focus on the legal instruments already approved by the Prime Minister for amendment</w:t>
      </w:r>
      <w:r w:rsidRPr="0058078A">
        <w:t xml:space="preserve">. This could </w:t>
      </w:r>
      <w:r w:rsidR="00E23E62">
        <w:t xml:space="preserve">involve </w:t>
      </w:r>
      <w:r w:rsidRPr="0058078A">
        <w:t>identif</w:t>
      </w:r>
      <w:r w:rsidR="00314BB7">
        <w:t>y</w:t>
      </w:r>
      <w:r w:rsidR="00E23E62">
        <w:t>ing</w:t>
      </w:r>
      <w:r w:rsidRPr="0058078A">
        <w:t xml:space="preserve"> any bottlenecks or delays, facilitat</w:t>
      </w:r>
      <w:r w:rsidR="00E23E62">
        <w:t>ing</w:t>
      </w:r>
      <w:r w:rsidRPr="0058078A">
        <w:t xml:space="preserve"> stakeholder </w:t>
      </w:r>
      <w:r w:rsidR="006A7FA4" w:rsidRPr="0058078A">
        <w:t>consultations,</w:t>
      </w:r>
      <w:r w:rsidRPr="0058078A">
        <w:t xml:space="preserve"> and accelerat</w:t>
      </w:r>
      <w:r w:rsidR="00314BB7">
        <w:t>ing</w:t>
      </w:r>
      <w:r w:rsidRPr="0058078A">
        <w:t xml:space="preserve"> processing of the necessary approvals and </w:t>
      </w:r>
      <w:r w:rsidR="00314BB7">
        <w:t>issuance</w:t>
      </w:r>
      <w:r w:rsidR="00314BB7" w:rsidRPr="0058078A">
        <w:t xml:space="preserve"> </w:t>
      </w:r>
      <w:r w:rsidRPr="0058078A">
        <w:t xml:space="preserve">of the revised </w:t>
      </w:r>
      <w:r w:rsidR="00314BB7">
        <w:t xml:space="preserve">legal </w:t>
      </w:r>
      <w:r w:rsidRPr="0058078A">
        <w:t xml:space="preserve">texts.  </w:t>
      </w:r>
    </w:p>
    <w:p w14:paraId="5F53B3D8" w14:textId="6C06A74E" w:rsidR="000F2488" w:rsidRDefault="000F2488" w:rsidP="00CF13CA">
      <w:pPr>
        <w:pStyle w:val="Heading3"/>
        <w:spacing w:before="100" w:beforeAutospacing="1" w:after="100" w:afterAutospacing="1"/>
      </w:pPr>
      <w:r>
        <w:t>Improve measurement towards the two targets</w:t>
      </w:r>
      <w:r w:rsidR="00CD1F9A">
        <w:t xml:space="preserve"> of Resolution 68</w:t>
      </w:r>
      <w:r w:rsidR="00833CD2">
        <w:t>.</w:t>
      </w:r>
      <w:r>
        <w:t xml:space="preserve"> </w:t>
      </w:r>
    </w:p>
    <w:p w14:paraId="6B1B26EC" w14:textId="14DF0CAA" w:rsidR="00962358" w:rsidRPr="0064533A" w:rsidRDefault="4EB6DE56" w:rsidP="008C64CB">
      <w:pPr>
        <w:jc w:val="both"/>
      </w:pPr>
      <w:r w:rsidRPr="00AA6635">
        <w:rPr>
          <w:b/>
          <w:bCs/>
        </w:rPr>
        <w:t xml:space="preserve">Reporting results on the implementation of Resolution 68 against its two quantitative targets requires strengthening the approach to </w:t>
      </w:r>
      <w:r w:rsidR="4640B31D" w:rsidRPr="00AA6635">
        <w:rPr>
          <w:b/>
          <w:bCs/>
        </w:rPr>
        <w:t xml:space="preserve">collect data and </w:t>
      </w:r>
      <w:r w:rsidRPr="00AA6635">
        <w:rPr>
          <w:b/>
          <w:bCs/>
        </w:rPr>
        <w:t>measure progress</w:t>
      </w:r>
      <w:r w:rsidRPr="0064533A">
        <w:t>.</w:t>
      </w:r>
      <w:r w:rsidRPr="008C64CB">
        <w:t xml:space="preserve">  In the absence of a baseline as of March 2020 for the first target (simplification or reduction of regulations by 20 percent), an approach could be established to determine the total number of regulations to calculate the share </w:t>
      </w:r>
      <w:r w:rsidR="7FC617CF">
        <w:t>of</w:t>
      </w:r>
      <w:r w:rsidRPr="00962358">
        <w:t xml:space="preserve"> </w:t>
      </w:r>
      <w:r w:rsidRPr="008C64CB">
        <w:t>reduced/simplified</w:t>
      </w:r>
      <w:r w:rsidR="7FC617CF">
        <w:t xml:space="preserve"> regulations</w:t>
      </w:r>
      <w:r w:rsidRPr="008C64CB">
        <w:t xml:space="preserve">. APCA/OOG could propose </w:t>
      </w:r>
      <w:r w:rsidR="74DE32EF" w:rsidRPr="008C64CB">
        <w:t>objective criteria</w:t>
      </w:r>
      <w:r w:rsidRPr="008C64CB">
        <w:t xml:space="preserve"> to establish that baseline, </w:t>
      </w:r>
      <w:r w:rsidR="00884458">
        <w:t xml:space="preserve">for example </w:t>
      </w:r>
      <w:r w:rsidRPr="008C64CB">
        <w:t xml:space="preserve">based on the number of regulations in the </w:t>
      </w:r>
      <w:r w:rsidR="74DE32EF" w:rsidRPr="008C64CB">
        <w:t xml:space="preserve">Business Regulations </w:t>
      </w:r>
      <w:r w:rsidR="3AA5B7FC" w:rsidRPr="00911557">
        <w:t xml:space="preserve">Consultation and </w:t>
      </w:r>
      <w:r w:rsidR="74DE32EF" w:rsidRPr="008C64CB">
        <w:t>Query Portal</w:t>
      </w:r>
      <w:r w:rsidR="00884458">
        <w:t>.</w:t>
      </w:r>
      <w:r w:rsidR="74DE32EF" w:rsidRPr="008C64CB">
        <w:t xml:space="preserve"> </w:t>
      </w:r>
      <w:r w:rsidRPr="008C64CB">
        <w:t xml:space="preserve">The second target (reduction in compliance costs by 20 percent) is missing post-simplification data. To report results, APCA/OOG could take the following steps. </w:t>
      </w:r>
      <w:r w:rsidRPr="15E5BA73">
        <w:rPr>
          <w:i/>
          <w:iCs/>
        </w:rPr>
        <w:t>First</w:t>
      </w:r>
      <w:r w:rsidRPr="008C64CB">
        <w:t xml:space="preserve">, identify those business regulations that have been simplified or reduced. </w:t>
      </w:r>
      <w:r w:rsidR="465736E2" w:rsidRPr="008C64CB">
        <w:t>For example, i</w:t>
      </w:r>
      <w:r w:rsidRPr="008C64CB">
        <w:t>nitial analysis for this study identified a total of 282 administrative procedures which were simplified.</w:t>
      </w:r>
      <w:r w:rsidR="00962358" w:rsidRPr="008C64CB">
        <w:rPr>
          <w:vertAlign w:val="superscript"/>
        </w:rPr>
        <w:footnoteReference w:id="95"/>
      </w:r>
      <w:r w:rsidRPr="008C64CB">
        <w:t xml:space="preserve"> </w:t>
      </w:r>
      <w:r w:rsidR="3D4570F1" w:rsidRPr="15E5BA73">
        <w:rPr>
          <w:i/>
          <w:iCs/>
        </w:rPr>
        <w:t>Second</w:t>
      </w:r>
      <w:r w:rsidR="3D4570F1">
        <w:t>, f</w:t>
      </w:r>
      <w:r w:rsidRPr="008C64CB">
        <w:t>or those</w:t>
      </w:r>
      <w:r w:rsidR="3D4570F1">
        <w:t xml:space="preserve"> administrative procedures</w:t>
      </w:r>
      <w:r w:rsidRPr="008C64CB">
        <w:t xml:space="preserve">, APCA/OOG could work with the relevant </w:t>
      </w:r>
      <w:r w:rsidR="465736E2" w:rsidRPr="008C64CB">
        <w:t xml:space="preserve">ministries </w:t>
      </w:r>
      <w:r w:rsidRPr="008C64CB">
        <w:t>to confirm the baseline and estimate reductions in compliance costs.</w:t>
      </w:r>
      <w:r w:rsidR="00316868">
        <w:rPr>
          <w:rStyle w:val="FootnoteReference"/>
        </w:rPr>
        <w:footnoteReference w:id="96"/>
      </w:r>
      <w:r w:rsidRPr="008C64CB">
        <w:t xml:space="preserve"> Critically, a transparent and clear </w:t>
      </w:r>
      <w:r w:rsidR="3A803120">
        <w:t>approach</w:t>
      </w:r>
      <w:r w:rsidRPr="008C64CB">
        <w:t xml:space="preserve"> can be established </w:t>
      </w:r>
      <w:r w:rsidR="1E349EDB" w:rsidRPr="008C64CB">
        <w:t xml:space="preserve">now </w:t>
      </w:r>
      <w:r w:rsidRPr="008C64CB">
        <w:t xml:space="preserve">to assess results at the end of the program. </w:t>
      </w:r>
    </w:p>
    <w:p w14:paraId="176A6CAF" w14:textId="601576AC" w:rsidR="000F2488" w:rsidRPr="008C64CB" w:rsidRDefault="4EB6DE56" w:rsidP="008C64CB">
      <w:pPr>
        <w:jc w:val="both"/>
      </w:pPr>
      <w:r w:rsidRPr="00AA6635">
        <w:rPr>
          <w:b/>
          <w:bCs/>
        </w:rPr>
        <w:t>Countries often struggle to quantify the costs of regulation</w:t>
      </w:r>
      <w:r w:rsidR="3A0DB0D5" w:rsidRPr="00AA6635">
        <w:rPr>
          <w:b/>
          <w:bCs/>
        </w:rPr>
        <w:t>s</w:t>
      </w:r>
      <w:r w:rsidRPr="00AA6635">
        <w:rPr>
          <w:b/>
          <w:bCs/>
        </w:rPr>
        <w:t xml:space="preserve"> comprehensively</w:t>
      </w:r>
      <w:r w:rsidRPr="0064533A">
        <w:t>.</w:t>
      </w:r>
      <w:r w:rsidRPr="008C64CB">
        <w:t xml:space="preserve"> Establishing</w:t>
      </w:r>
      <w:r w:rsidRPr="00AC3538">
        <w:t xml:space="preserve"> a baseline with quality data for all existing business regulations may not be cost-effective or feasible. In fact, several European countries experimented with establishing comprehensive baselines on compliance costs, only </w:t>
      </w:r>
      <w:r w:rsidRPr="00AC3538">
        <w:lastRenderedPageBreak/>
        <w:t>to realize that focusing on the flow of regulation may be a more efficient way to track cost reductions.</w:t>
      </w:r>
      <w:r w:rsidR="00962358" w:rsidRPr="00AC3538">
        <w:rPr>
          <w:vertAlign w:val="superscript"/>
        </w:rPr>
        <w:footnoteReference w:id="97"/>
      </w:r>
      <w:r w:rsidRPr="00AC3538">
        <w:t xml:space="preserve">  </w:t>
      </w:r>
      <w:r w:rsidRPr="008C64CB">
        <w:t>Moving forward, APCA/OOG could also consider targets based on the flow of new regulations.</w:t>
      </w:r>
    </w:p>
    <w:p w14:paraId="7FD03238" w14:textId="0C5BCE77" w:rsidR="00E97C57" w:rsidRDefault="34A96A97" w:rsidP="00E97C57">
      <w:pPr>
        <w:jc w:val="both"/>
      </w:pPr>
      <w:r w:rsidRPr="00AA6635">
        <w:rPr>
          <w:b/>
          <w:bCs/>
        </w:rPr>
        <w:t xml:space="preserve">Small improvements in existing tools could </w:t>
      </w:r>
      <w:r w:rsidR="467EA76D" w:rsidRPr="00AA6635">
        <w:rPr>
          <w:b/>
          <w:bCs/>
        </w:rPr>
        <w:t xml:space="preserve">also </w:t>
      </w:r>
      <w:r w:rsidRPr="00AA6635">
        <w:rPr>
          <w:b/>
          <w:bCs/>
        </w:rPr>
        <w:t>facilitate results tracking and reporting</w:t>
      </w:r>
      <w:r w:rsidR="74633B7D" w:rsidRPr="008C64CB">
        <w:t xml:space="preserve">. </w:t>
      </w:r>
      <w:r w:rsidRPr="008C64CB">
        <w:t xml:space="preserve">For example, the report on compliance cost could include the </w:t>
      </w:r>
      <w:r w:rsidR="467EA76D" w:rsidRPr="008C64CB">
        <w:t xml:space="preserve">date </w:t>
      </w:r>
      <w:r w:rsidRPr="008C64CB">
        <w:t>when the information was last updated, and whether the calculation was based on an existing or draft regulation.</w:t>
      </w:r>
      <w:r w:rsidR="00E97C57" w:rsidRPr="008C64CB">
        <w:rPr>
          <w:rStyle w:val="FootnoteReference"/>
        </w:rPr>
        <w:footnoteReference w:id="98"/>
      </w:r>
      <w:r w:rsidRPr="008C64CB">
        <w:t xml:space="preserve"> Similarly, APCA/OOG keeps a</w:t>
      </w:r>
      <w:r>
        <w:t xml:space="preserve"> database of legal texts amended and to be amended which includes information on business regulations simplified or reduced. However, the format could be improved </w:t>
      </w:r>
      <w:r w:rsidR="1E03AC6B">
        <w:t>to</w:t>
      </w:r>
      <w:r>
        <w:t xml:space="preserve"> </w:t>
      </w:r>
      <w:r w:rsidR="3523CD96">
        <w:t>facilitate data collection and analysis, for example by adding</w:t>
      </w:r>
      <w:r>
        <w:t xml:space="preserve"> categories </w:t>
      </w:r>
      <w:r w:rsidR="00D1084C">
        <w:t xml:space="preserve">on </w:t>
      </w:r>
      <w:r>
        <w:t xml:space="preserve">the type of regulation amended, year, compliance cost calculation, among others. Once the legal text is published in the official gazette, the information could be validated by APCA/OOG, and the line tagged as ‘completed.’ Gathering better information would also help with communicating results. In the medium term, there are opportunities to further systematize and automate </w:t>
      </w:r>
      <w:r w:rsidR="6296E94D">
        <w:t>the updating of databases on business regulations</w:t>
      </w:r>
      <w:r>
        <w:t xml:space="preserve"> (see section </w:t>
      </w:r>
      <w:r w:rsidR="25CC0485">
        <w:t>IV.B</w:t>
      </w:r>
      <w:r>
        <w:t>).</w:t>
      </w:r>
    </w:p>
    <w:p w14:paraId="755A60E4" w14:textId="7058AEFD" w:rsidR="009379D3" w:rsidRDefault="00CA4D17" w:rsidP="00CF13CA">
      <w:pPr>
        <w:pStyle w:val="Heading3"/>
        <w:spacing w:before="100" w:beforeAutospacing="1" w:after="100" w:afterAutospacing="1"/>
      </w:pPr>
      <w:r>
        <w:t xml:space="preserve">Communicate </w:t>
      </w:r>
      <w:r w:rsidR="000A29D5">
        <w:t xml:space="preserve">the </w:t>
      </w:r>
      <w:r>
        <w:t>impact</w:t>
      </w:r>
      <w:r w:rsidR="00833CD2">
        <w:t>.</w:t>
      </w:r>
    </w:p>
    <w:p w14:paraId="3AF10736" w14:textId="0A78B244" w:rsidR="00E22373" w:rsidRPr="00E22373" w:rsidRDefault="000A29D5" w:rsidP="15E5BA73">
      <w:pPr>
        <w:jc w:val="both"/>
      </w:pPr>
      <w:r>
        <w:rPr>
          <w:b/>
          <w:bCs/>
        </w:rPr>
        <w:t>T</w:t>
      </w:r>
      <w:r w:rsidR="4F78D575" w:rsidRPr="00AA6635">
        <w:rPr>
          <w:b/>
          <w:bCs/>
        </w:rPr>
        <w:t xml:space="preserve">here is </w:t>
      </w:r>
      <w:r w:rsidR="6296E94D" w:rsidRPr="00AA6635">
        <w:rPr>
          <w:b/>
          <w:bCs/>
        </w:rPr>
        <w:t xml:space="preserve">room </w:t>
      </w:r>
      <w:r w:rsidR="4F78D575" w:rsidRPr="00AA6635">
        <w:rPr>
          <w:b/>
          <w:bCs/>
        </w:rPr>
        <w:t xml:space="preserve">to improve communications on </w:t>
      </w:r>
      <w:r>
        <w:rPr>
          <w:b/>
          <w:bCs/>
        </w:rPr>
        <w:t xml:space="preserve">the </w:t>
      </w:r>
      <w:r w:rsidR="4F78D575" w:rsidRPr="00AA6635">
        <w:rPr>
          <w:b/>
          <w:bCs/>
        </w:rPr>
        <w:t xml:space="preserve">results achieved </w:t>
      </w:r>
      <w:r>
        <w:rPr>
          <w:b/>
          <w:bCs/>
        </w:rPr>
        <w:t>by Resolution 68</w:t>
      </w:r>
      <w:r w:rsidR="4F78D575">
        <w:t xml:space="preserve">. Communications could cover two areas. </w:t>
      </w:r>
      <w:r>
        <w:t>First</w:t>
      </w:r>
      <w:r w:rsidR="4F78D575">
        <w:t xml:space="preserve">, </w:t>
      </w:r>
      <w:r>
        <w:t xml:space="preserve">the authorities could provide </w:t>
      </w:r>
      <w:r w:rsidR="4F78D575">
        <w:t>regular updates (annual or semi-annual) on the overall progress with the implementation of Resolution 68</w:t>
      </w:r>
      <w:r w:rsidR="16F5A1A7">
        <w:t xml:space="preserve"> should </w:t>
      </w:r>
      <w:r>
        <w:t>and</w:t>
      </w:r>
      <w:r w:rsidR="16F5A1A7">
        <w:t xml:space="preserve"> disseminate to the public</w:t>
      </w:r>
      <w:r w:rsidR="4F78D575">
        <w:t xml:space="preserve">. </w:t>
      </w:r>
      <w:r>
        <w:t>Second,</w:t>
      </w:r>
      <w:r w:rsidR="4F78D575">
        <w:t xml:space="preserve"> specific improvements in business regulations achieved as part of the reform</w:t>
      </w:r>
      <w:r w:rsidR="1E9A70A2">
        <w:t xml:space="preserve"> should be shared widely</w:t>
      </w:r>
      <w:r>
        <w:t xml:space="preserve"> </w:t>
      </w:r>
      <w:r w:rsidR="4F78D575">
        <w:t xml:space="preserve">and highlight the benefits that the simplification or reduction in regulations </w:t>
      </w:r>
      <w:r w:rsidR="75BA301E">
        <w:t>brings</w:t>
      </w:r>
      <w:r w:rsidR="4F78D575">
        <w:t xml:space="preserve"> to businesses. Specific reform case studies on the changes with the highest impact in terms of reducing the cost of doing business or enabling new business activity could be developed in collaboration between APCA/OOG and the relevant </w:t>
      </w:r>
      <w:r w:rsidR="1DDA39E1">
        <w:t>ministries</w:t>
      </w:r>
      <w:r>
        <w:t xml:space="preserve"> and </w:t>
      </w:r>
      <w:r w:rsidR="4F78D575">
        <w:t xml:space="preserve">include the private sector perspective. </w:t>
      </w:r>
      <w:r w:rsidR="00EC25D2">
        <w:t xml:space="preserve">In the medium term, greater effort </w:t>
      </w:r>
      <w:r w:rsidR="00D70F27">
        <w:t xml:space="preserve">could </w:t>
      </w:r>
      <w:r w:rsidR="00947D8E">
        <w:t>be placed in</w:t>
      </w:r>
      <w:r w:rsidR="00EC25D2">
        <w:t xml:space="preserve"> measur</w:t>
      </w:r>
      <w:r w:rsidR="00947D8E">
        <w:t>ing</w:t>
      </w:r>
      <w:r w:rsidR="00481FAC">
        <w:t xml:space="preserve"> </w:t>
      </w:r>
      <w:r w:rsidR="00947D8E">
        <w:t xml:space="preserve">the </w:t>
      </w:r>
      <w:r w:rsidR="00481FAC">
        <w:t xml:space="preserve">impact of </w:t>
      </w:r>
      <w:r w:rsidR="00237A71">
        <w:t>new/amended regulations, including cuts in compliance costs and economic benefits</w:t>
      </w:r>
      <w:r w:rsidR="00D70F27">
        <w:t>.</w:t>
      </w:r>
      <w:r w:rsidR="4F78D575">
        <w:t xml:space="preserve"> </w:t>
      </w:r>
    </w:p>
    <w:p w14:paraId="668ED895" w14:textId="17F080FC" w:rsidR="000201B4" w:rsidRDefault="24DB8907" w:rsidP="15E5BA73">
      <w:pPr>
        <w:pStyle w:val="Heading2"/>
        <w:spacing w:before="100" w:beforeAutospacing="1" w:after="100" w:afterAutospacing="1"/>
      </w:pPr>
      <w:bookmarkStart w:id="26" w:name="_Toc175228088"/>
      <w:r>
        <w:t>Medium-term (</w:t>
      </w:r>
      <w:r w:rsidR="04655797">
        <w:t>202</w:t>
      </w:r>
      <w:r w:rsidR="0035630B">
        <w:t>6</w:t>
      </w:r>
      <w:r>
        <w:t xml:space="preserve">-2030) – </w:t>
      </w:r>
      <w:r w:rsidR="5B83D632">
        <w:t xml:space="preserve">evolve </w:t>
      </w:r>
      <w:r>
        <w:t xml:space="preserve">to a new paradigm </w:t>
      </w:r>
      <w:r w:rsidR="2F1F9002">
        <w:t>in business regulations</w:t>
      </w:r>
      <w:bookmarkEnd w:id="26"/>
      <w:r w:rsidR="2F1F9002">
        <w:t xml:space="preserve"> </w:t>
      </w:r>
    </w:p>
    <w:p w14:paraId="40B1C972" w14:textId="6C554144" w:rsidR="006670BF" w:rsidRDefault="21C9FE1F" w:rsidP="0064533A">
      <w:pPr>
        <w:jc w:val="both"/>
      </w:pPr>
      <w:r w:rsidRPr="00F216E9">
        <w:t>The following recommendations seek to inform the design of the next cycle of regulatory reform (2026</w:t>
      </w:r>
      <w:r w:rsidR="000A29D5">
        <w:t>-</w:t>
      </w:r>
      <w:r w:rsidRPr="00F216E9">
        <w:t>30)</w:t>
      </w:r>
      <w:r w:rsidR="00F216E9" w:rsidRPr="00F216E9">
        <w:t>.</w:t>
      </w:r>
      <w:r>
        <w:t xml:space="preserve"> </w:t>
      </w:r>
      <w:r w:rsidR="00F216E9">
        <w:t xml:space="preserve">The approach </w:t>
      </w:r>
      <w:r>
        <w:t xml:space="preserve">could build on the progress achieved by Resolution </w:t>
      </w:r>
      <w:r w:rsidR="5FFC7554">
        <w:t>68 and</w:t>
      </w:r>
      <w:r>
        <w:t xml:space="preserve"> evolve towards a new paradigm </w:t>
      </w:r>
      <w:r w:rsidR="6C60613D">
        <w:t xml:space="preserve">that </w:t>
      </w:r>
      <w:r w:rsidR="0FC4DBCE">
        <w:t xml:space="preserve">leverages digital technology to strengthen risk-based approaches to business regulations and </w:t>
      </w:r>
      <w:r w:rsidR="1CB3EBDA">
        <w:t xml:space="preserve">client-centric digital </w:t>
      </w:r>
      <w:r w:rsidR="3DD07CE9">
        <w:t>services based on reusable data</w:t>
      </w:r>
      <w:r w:rsidR="5FFC7554">
        <w:t xml:space="preserve">. </w:t>
      </w:r>
      <w:r w:rsidR="00895371">
        <w:t xml:space="preserve">One necessary condition to </w:t>
      </w:r>
      <w:r w:rsidR="00DF6708">
        <w:t>improve digital services is</w:t>
      </w:r>
      <w:r w:rsidR="5680EB17">
        <w:t xml:space="preserve"> developing</w:t>
      </w:r>
      <w:r w:rsidR="00DF6708">
        <w:t xml:space="preserve"> further</w:t>
      </w:r>
      <w:r w:rsidR="5680EB17">
        <w:t xml:space="preserve"> the eGIF, including the necessary improvements in the legal framework.</w:t>
      </w:r>
      <w:r w:rsidR="00083533">
        <w:rPr>
          <w:rStyle w:val="FootnoteReference"/>
        </w:rPr>
        <w:footnoteReference w:id="99"/>
      </w:r>
      <w:r w:rsidR="5680EB17">
        <w:t xml:space="preserve"> </w:t>
      </w:r>
    </w:p>
    <w:p w14:paraId="0E234258" w14:textId="76AB6DB8" w:rsidR="001A2CC3" w:rsidRPr="00755E76" w:rsidRDefault="000A29D5" w:rsidP="00CF13CA">
      <w:pPr>
        <w:pStyle w:val="Heading3"/>
        <w:spacing w:before="100" w:beforeAutospacing="1" w:after="100" w:afterAutospacing="1"/>
      </w:pPr>
      <w:r>
        <w:lastRenderedPageBreak/>
        <w:t xml:space="preserve">Adopt </w:t>
      </w:r>
      <w:r w:rsidR="001A2CC3" w:rsidRPr="00755E76">
        <w:t xml:space="preserve">a more comprehensive approach in future regulatory reform strategies anchored on the digital transformation of service delivery. </w:t>
      </w:r>
    </w:p>
    <w:p w14:paraId="184A5BE8" w14:textId="2273676D" w:rsidR="001E427D" w:rsidRPr="00755E76" w:rsidRDefault="6E907612" w:rsidP="001E427D">
      <w:pPr>
        <w:spacing w:before="240"/>
        <w:jc w:val="both"/>
      </w:pPr>
      <w:r w:rsidRPr="00AA6635">
        <w:rPr>
          <w:rFonts w:ascii="Calibri" w:hAnsi="Calibri" w:cs="Calibri"/>
          <w:b/>
          <w:bCs/>
        </w:rPr>
        <w:t>The next cycle of regulatory reform could leverage developments in the foundational public digital infrastructure to develop fully online, paperless, contactless, and integrated G2B services</w:t>
      </w:r>
      <w:r w:rsidR="16E62449" w:rsidRPr="00AA6635">
        <w:rPr>
          <w:rFonts w:ascii="Calibri" w:hAnsi="Calibri" w:cs="Calibri"/>
          <w:b/>
          <w:bCs/>
        </w:rPr>
        <w:t>.</w:t>
      </w:r>
      <w:r w:rsidRPr="0064533A">
        <w:rPr>
          <w:rFonts w:ascii="Calibri" w:hAnsi="Calibri" w:cs="Calibri"/>
        </w:rPr>
        <w:t xml:space="preserve"> </w:t>
      </w:r>
      <w:r w:rsidR="16E62449" w:rsidRPr="0064533A">
        <w:rPr>
          <w:rFonts w:ascii="Calibri" w:hAnsi="Calibri" w:cs="Calibri"/>
        </w:rPr>
        <w:t>I</w:t>
      </w:r>
      <w:r w:rsidR="0B236A98" w:rsidRPr="00755E76">
        <w:rPr>
          <w:rFonts w:ascii="Calibri" w:hAnsi="Calibri" w:cs="Calibri"/>
        </w:rPr>
        <w:t>ntegrat</w:t>
      </w:r>
      <w:r w:rsidR="16E62449" w:rsidRPr="0064533A">
        <w:rPr>
          <w:rFonts w:ascii="Calibri" w:hAnsi="Calibri" w:cs="Calibri"/>
        </w:rPr>
        <w:t>ing</w:t>
      </w:r>
      <w:r w:rsidR="0B236A98" w:rsidRPr="00755E76">
        <w:rPr>
          <w:rFonts w:ascii="Calibri" w:hAnsi="Calibri" w:cs="Calibri"/>
        </w:rPr>
        <w:t xml:space="preserve"> and fully digitaliz</w:t>
      </w:r>
      <w:r w:rsidR="16E62449" w:rsidRPr="0064533A">
        <w:rPr>
          <w:rFonts w:ascii="Calibri" w:hAnsi="Calibri" w:cs="Calibri"/>
        </w:rPr>
        <w:t>ing</w:t>
      </w:r>
      <w:r w:rsidR="0B236A98" w:rsidRPr="00755E76">
        <w:rPr>
          <w:rFonts w:ascii="Calibri" w:hAnsi="Calibri" w:cs="Calibri"/>
        </w:rPr>
        <w:t xml:space="preserve"> G2B services </w:t>
      </w:r>
      <w:r w:rsidR="16E62449" w:rsidRPr="0064533A">
        <w:rPr>
          <w:rFonts w:ascii="Calibri" w:hAnsi="Calibri" w:cs="Calibri"/>
        </w:rPr>
        <w:t>will depend on</w:t>
      </w:r>
      <w:r w:rsidR="1A0C95BC" w:rsidRPr="0064533A">
        <w:rPr>
          <w:rFonts w:ascii="Calibri" w:hAnsi="Calibri" w:cs="Calibri"/>
        </w:rPr>
        <w:t xml:space="preserve"> the development of</w:t>
      </w:r>
      <w:r w:rsidR="0B236A98" w:rsidRPr="00755E76">
        <w:rPr>
          <w:rFonts w:ascii="Calibri" w:hAnsi="Calibri" w:cs="Calibri"/>
        </w:rPr>
        <w:t xml:space="preserve"> an eGIF. This would enable sharing and re-using data through unified web-based application forms. </w:t>
      </w:r>
      <w:r w:rsidR="00737F23">
        <w:rPr>
          <w:rFonts w:ascii="Calibri" w:hAnsi="Calibri" w:cs="Calibri"/>
        </w:rPr>
        <w:t xml:space="preserve">Using </w:t>
      </w:r>
      <w:r w:rsidR="00737F23">
        <w:t>w</w:t>
      </w:r>
      <w:r w:rsidR="0B236A98" w:rsidRPr="00755E76">
        <w:rPr>
          <w:rFonts w:ascii="Calibri" w:eastAsia="Calibri" w:hAnsi="Calibri" w:cs="Calibri"/>
        </w:rPr>
        <w:t>eb-based forms through an interoperability platform (e.g., a Government Service Bus) can prepopulate the inputs, remove or reduce duplicated data entries, and enhance the quality of data through data validation</w:t>
      </w:r>
      <w:r w:rsidR="0B236A98" w:rsidRPr="00755E76">
        <w:t>. For example, two-thirds of the online forms in Europe are pre-filled with information from authentic sources. In Lithuania and the Netherlands, more than nine out of ten online forms contain prepopulated data. This reduces the time to complete forms and minimizes typing errors.</w:t>
      </w:r>
      <w:r w:rsidR="001E427D" w:rsidRPr="00755E76">
        <w:rPr>
          <w:rStyle w:val="FootnoteReference"/>
        </w:rPr>
        <w:footnoteReference w:id="100"/>
      </w:r>
      <w:r w:rsidR="0B236A98" w:rsidRPr="00755E76">
        <w:t xml:space="preserve"> Future strategies for regulatory delivery should aim to eliminate submission of paper documents, and gradually minimize the submission of unstructured texts (e.g., PDF). </w:t>
      </w:r>
    </w:p>
    <w:p w14:paraId="77B486FB" w14:textId="6875DD2D" w:rsidR="001E427D" w:rsidRDefault="1A0C95BC" w:rsidP="15E5BA73">
      <w:pPr>
        <w:spacing w:beforeAutospacing="1" w:afterAutospacing="1"/>
        <w:jc w:val="both"/>
        <w:rPr>
          <w:rFonts w:ascii="Calibri" w:hAnsi="Calibri" w:cs="Calibri"/>
        </w:rPr>
      </w:pPr>
      <w:r w:rsidRPr="00AA6635">
        <w:rPr>
          <w:rFonts w:ascii="Calibri" w:hAnsi="Calibri" w:cs="Calibri"/>
          <w:b/>
          <w:bCs/>
        </w:rPr>
        <w:t>The reform strategy could</w:t>
      </w:r>
      <w:r w:rsidR="0B236A98" w:rsidRPr="00AA6635">
        <w:rPr>
          <w:rFonts w:ascii="Calibri" w:hAnsi="Calibri" w:cs="Calibri"/>
          <w:b/>
          <w:bCs/>
        </w:rPr>
        <w:t xml:space="preserve"> articulat</w:t>
      </w:r>
      <w:r w:rsidRPr="00AA6635">
        <w:rPr>
          <w:rFonts w:ascii="Calibri" w:hAnsi="Calibri" w:cs="Calibri"/>
          <w:b/>
          <w:bCs/>
        </w:rPr>
        <w:t>e</w:t>
      </w:r>
      <w:r w:rsidR="0B236A98" w:rsidRPr="00AA6635">
        <w:rPr>
          <w:rFonts w:ascii="Calibri" w:hAnsi="Calibri" w:cs="Calibri"/>
          <w:b/>
          <w:bCs/>
        </w:rPr>
        <w:t xml:space="preserve"> a high-level vision on regulatory delivery and develop a roadmap on the specific transformative activities that need to take place across each dimension</w:t>
      </w:r>
      <w:r w:rsidR="0B236A98" w:rsidRPr="15E5BA73">
        <w:rPr>
          <w:rFonts w:ascii="Calibri" w:hAnsi="Calibri" w:cs="Calibri"/>
        </w:rPr>
        <w:t xml:space="preserve"> (e.g., legal framework, institutional framework, capacity building, operating framework, and regulatory technology). Lastly, the roadmap should be further clarified by developing an action plan with clear roles and responsibilities for each stakeholder, and a timeline. The action plan should be continuously monitored and updated </w:t>
      </w:r>
      <w:r w:rsidR="01B25FCC" w:rsidRPr="00AA6635">
        <w:rPr>
          <w:rFonts w:ascii="Calibri" w:hAnsi="Calibri" w:cs="Calibri"/>
        </w:rPr>
        <w:t>annu</w:t>
      </w:r>
      <w:r w:rsidR="01B25FCC" w:rsidRPr="15E5BA73">
        <w:rPr>
          <w:rFonts w:ascii="Calibri" w:hAnsi="Calibri" w:cs="Calibri"/>
        </w:rPr>
        <w:t>ally</w:t>
      </w:r>
      <w:r w:rsidR="0B236A98" w:rsidRPr="15E5BA73">
        <w:rPr>
          <w:rFonts w:ascii="Calibri" w:hAnsi="Calibri" w:cs="Calibri"/>
        </w:rPr>
        <w:t xml:space="preserve"> to capture actual progress and allow for adjustments.</w:t>
      </w:r>
    </w:p>
    <w:p w14:paraId="24B0A428" w14:textId="0A724FEF" w:rsidR="0024451E" w:rsidRPr="001E3C12" w:rsidRDefault="000A29D5" w:rsidP="00CF13CA">
      <w:pPr>
        <w:pStyle w:val="Heading3"/>
        <w:spacing w:before="100" w:beforeAutospacing="1" w:after="100" w:afterAutospacing="1"/>
      </w:pPr>
      <w:r>
        <w:t>I</w:t>
      </w:r>
      <w:r w:rsidR="0024451E" w:rsidRPr="001E3C12">
        <w:t xml:space="preserve">mplement a risk-based approach to business licensing </w:t>
      </w:r>
      <w:r w:rsidR="003003C9">
        <w:t xml:space="preserve">and inspection </w:t>
      </w:r>
      <w:r w:rsidR="0024451E" w:rsidRPr="001E3C12">
        <w:t>reform</w:t>
      </w:r>
      <w:r w:rsidR="0024451E" w:rsidRPr="00365E88">
        <w:t>.</w:t>
      </w:r>
    </w:p>
    <w:p w14:paraId="3D88902E" w14:textId="0C1A2172" w:rsidR="001C2CD2" w:rsidRDefault="001C2CD2" w:rsidP="00861FB4">
      <w:pPr>
        <w:pStyle w:val="Body"/>
      </w:pPr>
      <w:r w:rsidRPr="00AA6635">
        <w:rPr>
          <w:b/>
        </w:rPr>
        <w:t xml:space="preserve">In mature licensing systems, the main function of licensing </w:t>
      </w:r>
      <w:r w:rsidR="2EDC7EDF" w:rsidRPr="00AA6635">
        <w:rPr>
          <w:b/>
        </w:rPr>
        <w:t xml:space="preserve">is the </w:t>
      </w:r>
      <w:r w:rsidRPr="00AA6635">
        <w:rPr>
          <w:b/>
        </w:rPr>
        <w:t>management of risk that products and services may pose</w:t>
      </w:r>
      <w:r w:rsidR="00EF1B08">
        <w:rPr>
          <w:b/>
        </w:rPr>
        <w:t xml:space="preserve"> (e.g.</w:t>
      </w:r>
      <w:r w:rsidRPr="00AA6635">
        <w:rPr>
          <w:b/>
        </w:rPr>
        <w:t xml:space="preserve"> to consumers, workers, and the environment</w:t>
      </w:r>
      <w:r w:rsidR="00EF1B08">
        <w:rPr>
          <w:b/>
        </w:rPr>
        <w:t>)</w:t>
      </w:r>
      <w:r w:rsidRPr="00AA6635">
        <w:rPr>
          <w:b/>
        </w:rPr>
        <w:t>.</w:t>
      </w:r>
      <w:r w:rsidRPr="008C64CB">
        <w:t xml:space="preserve"> </w:t>
      </w:r>
      <w:r w:rsidR="00E86B01">
        <w:t>R</w:t>
      </w:r>
      <w:r w:rsidR="00861FB4">
        <w:t>isk is the combination of:</w:t>
      </w:r>
      <w:r w:rsidR="00E86B01">
        <w:t xml:space="preserve"> i) </w:t>
      </w:r>
      <w:r w:rsidR="00861FB4">
        <w:t xml:space="preserve">the likelihood/probability of an adverse event (like a hazard or a harm) occurring, and </w:t>
      </w:r>
      <w:r w:rsidR="00E86B01">
        <w:t xml:space="preserve">ii) </w:t>
      </w:r>
      <w:r w:rsidR="00861FB4">
        <w:t>the potential severity and magnitude of the harm caused (e.g., number of people affected, and severity of the damage for each)</w:t>
      </w:r>
      <w:r w:rsidR="00E86B01">
        <w:t xml:space="preserve">. </w:t>
      </w:r>
      <w:r w:rsidR="00D24BB1" w:rsidRPr="00D24BB1">
        <w:t xml:space="preserve">A risk-based approach to regulation acknowledges that </w:t>
      </w:r>
      <w:r w:rsidR="001333F1">
        <w:t>licensing</w:t>
      </w:r>
      <w:r w:rsidR="001333F1" w:rsidRPr="00D24BB1">
        <w:t xml:space="preserve"> </w:t>
      </w:r>
      <w:r w:rsidR="00D24BB1" w:rsidRPr="00D24BB1">
        <w:t>is not the only way to manage risks to society and the economy</w:t>
      </w:r>
      <w:r w:rsidR="00D24BB1">
        <w:t xml:space="preserve">. </w:t>
      </w:r>
      <w:r w:rsidRPr="008C64CB">
        <w:t>Thus, ex-ante controls are aimed at managing risks</w:t>
      </w:r>
      <w:r w:rsidR="00EF1B08">
        <w:t xml:space="preserve">, </w:t>
      </w:r>
      <w:r w:rsidR="00245FCE">
        <w:t xml:space="preserve">for example to </w:t>
      </w:r>
      <w:r w:rsidRPr="008C64CB">
        <w:t>health, safety,</w:t>
      </w:r>
      <w:r w:rsidR="00245FCE">
        <w:t xml:space="preserve"> and the</w:t>
      </w:r>
      <w:r w:rsidRPr="008C64CB">
        <w:t xml:space="preserve"> environment, without undermining competition, and without regulating the quality of products and services</w:t>
      </w:r>
      <w:r w:rsidR="00D24BB1">
        <w:t xml:space="preserve"> (</w:t>
      </w:r>
      <w:r w:rsidR="00CF4500">
        <w:t>F</w:t>
      </w:r>
      <w:r w:rsidR="00D24BB1">
        <w:t>igure 15)</w:t>
      </w:r>
      <w:r w:rsidRPr="008C64CB">
        <w:t xml:space="preserve">. </w:t>
      </w:r>
    </w:p>
    <w:p w14:paraId="25CF3611" w14:textId="0B2FFF17" w:rsidR="00D24BB1" w:rsidRDefault="00D24BB1" w:rsidP="00861FB4">
      <w:pPr>
        <w:pStyle w:val="Body"/>
      </w:pPr>
      <w:r>
        <w:t xml:space="preserve">Figure 15. </w:t>
      </w:r>
      <w:r w:rsidR="008271DA">
        <w:t>How to regulate based on risk</w:t>
      </w:r>
    </w:p>
    <w:p w14:paraId="2026AAC7" w14:textId="2761CF0D" w:rsidR="008271DA" w:rsidRPr="008C64CB" w:rsidRDefault="00AD036E" w:rsidP="00861FB4">
      <w:pPr>
        <w:pStyle w:val="Body"/>
      </w:pPr>
      <w:r>
        <w:rPr>
          <w:noProof/>
          <w14:ligatures w14:val="standardContextual"/>
        </w:rPr>
        <w:lastRenderedPageBreak/>
        <mc:AlternateContent>
          <mc:Choice Requires="wps">
            <w:drawing>
              <wp:anchor distT="0" distB="0" distL="114300" distR="114300" simplePos="0" relativeHeight="251658244" behindDoc="0" locked="0" layoutInCell="1" allowOverlap="1" wp14:anchorId="5BC7AEE1" wp14:editId="7A3AEFED">
                <wp:simplePos x="0" y="0"/>
                <wp:positionH relativeFrom="margin">
                  <wp:posOffset>1695938</wp:posOffset>
                </wp:positionH>
                <wp:positionV relativeFrom="paragraph">
                  <wp:posOffset>1653442</wp:posOffset>
                </wp:positionV>
                <wp:extent cx="2831465" cy="833120"/>
                <wp:effectExtent l="0" t="590550" r="0" b="595630"/>
                <wp:wrapNone/>
                <wp:docPr id="14" name="Arrow: Left-Right 14"/>
                <wp:cNvGraphicFramePr/>
                <a:graphic xmlns:a="http://schemas.openxmlformats.org/drawingml/2006/main">
                  <a:graphicData uri="http://schemas.microsoft.com/office/word/2010/wordprocessingShape">
                    <wps:wsp>
                      <wps:cNvSpPr/>
                      <wps:spPr>
                        <a:xfrm rot="2606346">
                          <a:off x="0" y="0"/>
                          <a:ext cx="2831465" cy="833120"/>
                        </a:xfrm>
                        <a:prstGeom prst="leftRightArrow">
                          <a:avLst>
                            <a:gd name="adj1" fmla="val 45697"/>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51F4CE" w14:textId="77777777" w:rsidR="009F14F9" w:rsidRPr="00D64CD6" w:rsidRDefault="009F14F9" w:rsidP="009F14F9">
                            <w:pPr>
                              <w:jc w:val="center"/>
                              <w:rPr>
                                <w:rFonts w:ascii="Poppins" w:hAnsi="Poppins" w:cs="Poppins"/>
                                <w:color w:val="000000"/>
                                <w:kern w:val="24"/>
                                <w:sz w:val="12"/>
                                <w:szCs w:val="12"/>
                              </w:rPr>
                            </w:pPr>
                            <w:r w:rsidRPr="00D64CD6">
                              <w:rPr>
                                <w:rFonts w:ascii="Poppins" w:hAnsi="Poppins" w:cs="Poppins"/>
                                <w:color w:val="000000"/>
                                <w:kern w:val="24"/>
                                <w:sz w:val="12"/>
                                <w:szCs w:val="12"/>
                              </w:rPr>
                              <w:t>General Op. conditions, Registration, ex-post controls, possibly 3</w:t>
                            </w:r>
                            <w:r w:rsidRPr="00D64CD6">
                              <w:rPr>
                                <w:rFonts w:ascii="Poppins" w:hAnsi="Poppins" w:cs="Poppins"/>
                                <w:color w:val="000000"/>
                                <w:kern w:val="24"/>
                                <w:position w:val="8"/>
                                <w:sz w:val="12"/>
                                <w:szCs w:val="12"/>
                                <w:vertAlign w:val="superscript"/>
                              </w:rPr>
                              <w:t>rd</w:t>
                            </w:r>
                            <w:r w:rsidRPr="00D64CD6">
                              <w:rPr>
                                <w:rFonts w:ascii="Poppins" w:hAnsi="Poppins" w:cs="Poppins"/>
                                <w:color w:val="000000"/>
                                <w:kern w:val="24"/>
                                <w:sz w:val="12"/>
                                <w:szCs w:val="12"/>
                              </w:rPr>
                              <w:t xml:space="preserve"> party certification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BC7AEE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4" o:spid="_x0000_s1026" type="#_x0000_t69" style="position:absolute;left:0;text-align:left;margin-left:133.55pt;margin-top:130.2pt;width:222.95pt;height:65.6pt;rotation:2846825fd;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" adj="3178,5865" fillcolor="white [3212]" strokecolor="#1f3763 [1604]" strokeweight="1pt">
                <v:textbox>
                  <w:txbxContent>
                    <w:p w14:paraId="2551F4CE" w14:textId="77777777" w:rsidR="009F14F9" w:rsidRPr="00D64CD6" w:rsidRDefault="009F14F9" w:rsidP="009F14F9">
                      <w:pPr>
                        <w:jc w:val="center"/>
                        <w:rPr>
                          <w:rFonts w:ascii="Poppins" w:hAnsi="Poppins" w:cs="Poppins"/>
                          <w:color w:val="000000"/>
                          <w:kern w:val="24"/>
                          <w:sz w:val="12"/>
                          <w:szCs w:val="12"/>
                        </w:rPr>
                      </w:pPr>
                      <w:r w:rsidRPr="00D64CD6">
                        <w:rPr>
                          <w:rFonts w:ascii="Poppins" w:hAnsi="Poppins" w:cs="Poppins"/>
                          <w:color w:val="000000"/>
                          <w:kern w:val="24"/>
                          <w:sz w:val="12"/>
                          <w:szCs w:val="12"/>
                        </w:rPr>
                        <w:t>General Op. conditions, Registration, ex-post controls, possibly 3</w:t>
                      </w:r>
                      <w:r w:rsidRPr="00D64CD6">
                        <w:rPr>
                          <w:rFonts w:ascii="Poppins" w:hAnsi="Poppins" w:cs="Poppins"/>
                          <w:color w:val="000000"/>
                          <w:kern w:val="24"/>
                          <w:position w:val="8"/>
                          <w:sz w:val="12"/>
                          <w:szCs w:val="12"/>
                          <w:vertAlign w:val="superscript"/>
                        </w:rPr>
                        <w:t>rd</w:t>
                      </w:r>
                      <w:r w:rsidRPr="00D64CD6">
                        <w:rPr>
                          <w:rFonts w:ascii="Poppins" w:hAnsi="Poppins" w:cs="Poppins"/>
                          <w:color w:val="000000"/>
                          <w:kern w:val="24"/>
                          <w:sz w:val="12"/>
                          <w:szCs w:val="12"/>
                        </w:rPr>
                        <w:t xml:space="preserve"> party certification</w:t>
                      </w:r>
                    </w:p>
                  </w:txbxContent>
                </v:textbox>
                <w10:wrap anchorx="margin"/>
              </v:shape>
            </w:pict>
          </mc:Fallback>
        </mc:AlternateContent>
      </w:r>
      <w:r w:rsidR="001E4F5C">
        <w:rPr>
          <w:noProof/>
          <w14:ligatures w14:val="standardContextual"/>
        </w:rPr>
        <mc:AlternateContent>
          <mc:Choice Requires="wps">
            <w:drawing>
              <wp:anchor distT="0" distB="0" distL="114300" distR="114300" simplePos="0" relativeHeight="251658245" behindDoc="0" locked="0" layoutInCell="1" allowOverlap="1" wp14:anchorId="3180CE0F" wp14:editId="56ABA0FD">
                <wp:simplePos x="0" y="0"/>
                <wp:positionH relativeFrom="margin">
                  <wp:posOffset>1383858</wp:posOffset>
                </wp:positionH>
                <wp:positionV relativeFrom="paragraph">
                  <wp:posOffset>2134619</wp:posOffset>
                </wp:positionV>
                <wp:extent cx="1670037" cy="829310"/>
                <wp:effectExtent l="0" t="190500" r="0" b="199390"/>
                <wp:wrapNone/>
                <wp:docPr id="18" name="Arrow: Left-Right 18"/>
                <wp:cNvGraphicFramePr/>
                <a:graphic xmlns:a="http://schemas.openxmlformats.org/drawingml/2006/main">
                  <a:graphicData uri="http://schemas.microsoft.com/office/word/2010/wordprocessingShape">
                    <wps:wsp>
                      <wps:cNvSpPr/>
                      <wps:spPr>
                        <a:xfrm rot="2606346">
                          <a:off x="0" y="0"/>
                          <a:ext cx="1670037" cy="829310"/>
                        </a:xfrm>
                        <a:prstGeom prst="leftRightArrow">
                          <a:avLst>
                            <a:gd name="adj1" fmla="val 42079"/>
                            <a:gd name="adj2"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1D32CC" w14:textId="77777777" w:rsidR="009F14F9" w:rsidRPr="00D64CD6" w:rsidRDefault="009F14F9" w:rsidP="009F14F9">
                            <w:pPr>
                              <w:jc w:val="center"/>
                              <w:rPr>
                                <w:rFonts w:ascii="Poppins" w:hAnsi="Poppins" w:cs="Poppins"/>
                                <w:color w:val="000000"/>
                                <w:kern w:val="24"/>
                                <w:sz w:val="12"/>
                                <w:szCs w:val="12"/>
                              </w:rPr>
                            </w:pPr>
                            <w:r w:rsidRPr="00D64CD6">
                              <w:rPr>
                                <w:rFonts w:ascii="Poppins" w:hAnsi="Poppins" w:cs="Poppins"/>
                                <w:color w:val="000000"/>
                                <w:kern w:val="24"/>
                                <w:sz w:val="12"/>
                                <w:szCs w:val="12"/>
                              </w:rPr>
                              <w:t>No specific requirement or “light” General Op. Conditions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80CE0F" id="Arrow: Left-Right 18" o:spid="_x0000_s1027" type="#_x0000_t69" style="position:absolute;left:0;text-align:left;margin-left:108.95pt;margin-top:168.1pt;width:131.5pt;height:65.3pt;rotation:2846825fd;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" adj="5363,6255" fillcolor="white [3212]" strokecolor="#1f3763 [1604]" strokeweight="1pt">
                <v:textbox>
                  <w:txbxContent>
                    <w:p w14:paraId="511D32CC" w14:textId="77777777" w:rsidR="009F14F9" w:rsidRPr="00D64CD6" w:rsidRDefault="009F14F9" w:rsidP="009F14F9">
                      <w:pPr>
                        <w:jc w:val="center"/>
                        <w:rPr>
                          <w:rFonts w:ascii="Poppins" w:hAnsi="Poppins" w:cs="Poppins"/>
                          <w:color w:val="000000"/>
                          <w:kern w:val="24"/>
                          <w:sz w:val="12"/>
                          <w:szCs w:val="12"/>
                        </w:rPr>
                      </w:pPr>
                      <w:r w:rsidRPr="00D64CD6">
                        <w:rPr>
                          <w:rFonts w:ascii="Poppins" w:hAnsi="Poppins" w:cs="Poppins"/>
                          <w:color w:val="000000"/>
                          <w:kern w:val="24"/>
                          <w:sz w:val="12"/>
                          <w:szCs w:val="12"/>
                        </w:rPr>
                        <w:t>No specific requirement or “light” General Op. Conditions</w:t>
                      </w:r>
                    </w:p>
                  </w:txbxContent>
                </v:textbox>
                <w10:wrap anchorx="margin"/>
              </v:shape>
            </w:pict>
          </mc:Fallback>
        </mc:AlternateContent>
      </w:r>
      <w:r w:rsidR="00DB7C4C">
        <w:rPr>
          <w:noProof/>
          <w14:ligatures w14:val="standardContextual"/>
        </w:rPr>
        <mc:AlternateContent>
          <mc:Choice Requires="wps">
            <w:drawing>
              <wp:anchor distT="0" distB="0" distL="114300" distR="114300" simplePos="0" relativeHeight="251658243" behindDoc="0" locked="0" layoutInCell="1" allowOverlap="1" wp14:anchorId="47C12C21" wp14:editId="3A274B4D">
                <wp:simplePos x="0" y="0"/>
                <wp:positionH relativeFrom="margin">
                  <wp:posOffset>3433118</wp:posOffset>
                </wp:positionH>
                <wp:positionV relativeFrom="paragraph">
                  <wp:posOffset>1532637</wp:posOffset>
                </wp:positionV>
                <wp:extent cx="2112298" cy="758760"/>
                <wp:effectExtent l="0" t="381000" r="0" b="384810"/>
                <wp:wrapNone/>
                <wp:docPr id="13" name="Arrow: Left-Right 13"/>
                <wp:cNvGraphicFramePr/>
                <a:graphic xmlns:a="http://schemas.openxmlformats.org/drawingml/2006/main">
                  <a:graphicData uri="http://schemas.microsoft.com/office/word/2010/wordprocessingShape">
                    <wps:wsp>
                      <wps:cNvSpPr/>
                      <wps:spPr>
                        <a:xfrm rot="2606346">
                          <a:off x="0" y="0"/>
                          <a:ext cx="2112298" cy="758760"/>
                        </a:xfrm>
                        <a:prstGeom prst="lef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4D085" w14:textId="77777777" w:rsidR="009F14F9" w:rsidRPr="00D64CD6" w:rsidRDefault="009F14F9" w:rsidP="009F14F9">
                            <w:pPr>
                              <w:jc w:val="center"/>
                              <w:rPr>
                                <w:rFonts w:ascii="Poppins" w:hAnsi="Poppins" w:cs="Poppins"/>
                                <w:color w:val="000000"/>
                                <w:kern w:val="24"/>
                                <w:sz w:val="12"/>
                                <w:szCs w:val="12"/>
                              </w:rPr>
                            </w:pPr>
                            <w:r w:rsidRPr="00D64CD6">
                              <w:rPr>
                                <w:rFonts w:ascii="Poppins" w:hAnsi="Poppins" w:cs="Poppins"/>
                                <w:color w:val="000000"/>
                                <w:kern w:val="24"/>
                                <w:sz w:val="12"/>
                                <w:szCs w:val="12"/>
                              </w:rPr>
                              <w:t>Prior approval (licensing), ex-post controls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7C12C21" id="Arrow: Left-Right 13" o:spid="_x0000_s1028" type="#_x0000_t69" style="position:absolute;left:0;text-align:left;margin-left:270.3pt;margin-top:120.7pt;width:166.3pt;height:59.75pt;rotation:2846825fd;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" adj="3879" fillcolor="white [3212]" strokecolor="#1f3763 [1604]" strokeweight="1pt">
                <v:textbox>
                  <w:txbxContent>
                    <w:p w14:paraId="69A4D085" w14:textId="77777777" w:rsidR="009F14F9" w:rsidRPr="00D64CD6" w:rsidRDefault="009F14F9" w:rsidP="009F14F9">
                      <w:pPr>
                        <w:jc w:val="center"/>
                        <w:rPr>
                          <w:rFonts w:ascii="Poppins" w:hAnsi="Poppins" w:cs="Poppins"/>
                          <w:color w:val="000000"/>
                          <w:kern w:val="24"/>
                          <w:sz w:val="12"/>
                          <w:szCs w:val="12"/>
                        </w:rPr>
                      </w:pPr>
                      <w:r w:rsidRPr="00D64CD6">
                        <w:rPr>
                          <w:rFonts w:ascii="Poppins" w:hAnsi="Poppins" w:cs="Poppins"/>
                          <w:color w:val="000000"/>
                          <w:kern w:val="24"/>
                          <w:sz w:val="12"/>
                          <w:szCs w:val="12"/>
                        </w:rPr>
                        <w:t>Prior approval (licensing), ex-post controls</w:t>
                      </w:r>
                    </w:p>
                  </w:txbxContent>
                </v:textbox>
                <w10:wrap anchorx="margin"/>
              </v:shape>
            </w:pict>
          </mc:Fallback>
        </mc:AlternateContent>
      </w:r>
      <w:r w:rsidR="00B26133">
        <w:rPr>
          <w:noProof/>
          <w14:ligatures w14:val="standardContextual"/>
        </w:rPr>
        <mc:AlternateContent>
          <mc:Choice Requires="wps">
            <w:drawing>
              <wp:anchor distT="0" distB="0" distL="114300" distR="114300" simplePos="0" relativeHeight="251658242" behindDoc="0" locked="0" layoutInCell="1" allowOverlap="1" wp14:anchorId="3BDD7B33" wp14:editId="73616AC4">
                <wp:simplePos x="0" y="0"/>
                <wp:positionH relativeFrom="margin">
                  <wp:posOffset>4307449</wp:posOffset>
                </wp:positionH>
                <wp:positionV relativeFrom="paragraph">
                  <wp:posOffset>921483</wp:posOffset>
                </wp:positionV>
                <wp:extent cx="1503566" cy="883015"/>
                <wp:effectExtent l="0" t="114300" r="0" b="107950"/>
                <wp:wrapNone/>
                <wp:docPr id="12" name="Arrow: Left-Right 12"/>
                <wp:cNvGraphicFramePr/>
                <a:graphic xmlns:a="http://schemas.openxmlformats.org/drawingml/2006/main">
                  <a:graphicData uri="http://schemas.microsoft.com/office/word/2010/wordprocessingShape">
                    <wps:wsp>
                      <wps:cNvSpPr/>
                      <wps:spPr>
                        <a:xfrm rot="2445963">
                          <a:off x="0" y="0"/>
                          <a:ext cx="1503566" cy="883015"/>
                        </a:xfrm>
                        <a:prstGeom prst="lef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99EDC" w14:textId="77777777" w:rsidR="009F14F9" w:rsidRPr="00D64CD6" w:rsidRDefault="009F14F9" w:rsidP="00D64CD6">
                            <w:pPr>
                              <w:spacing w:line="240" w:lineRule="auto"/>
                              <w:jc w:val="center"/>
                              <w:rPr>
                                <w:rFonts w:ascii="Poppins" w:hAnsi="Poppins" w:cs="Poppins"/>
                                <w:color w:val="000000"/>
                                <w:kern w:val="24"/>
                                <w:sz w:val="12"/>
                                <w:szCs w:val="12"/>
                              </w:rPr>
                            </w:pPr>
                            <w:r w:rsidRPr="00D64CD6">
                              <w:rPr>
                                <w:rFonts w:ascii="Poppins" w:hAnsi="Poppins" w:cs="Poppins"/>
                                <w:color w:val="000000"/>
                                <w:kern w:val="24"/>
                                <w:sz w:val="12"/>
                                <w:szCs w:val="12"/>
                              </w:rPr>
                              <w:t>Ex-ante inspection, prior approval (licensing), ex-post controls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DD7B33" id="Arrow: Left-Right 12" o:spid="_x0000_s1029" type="#_x0000_t69" style="position:absolute;left:0;text-align:left;margin-left:339.15pt;margin-top:72.55pt;width:118.4pt;height:69.55pt;rotation:2671644fd;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" adj="6343" fillcolor="white [3212]" strokecolor="#1f3763 [1604]" strokeweight="1pt">
                <v:textbox>
                  <w:txbxContent>
                    <w:p w14:paraId="0C299EDC" w14:textId="77777777" w:rsidR="009F14F9" w:rsidRPr="00D64CD6" w:rsidRDefault="009F14F9" w:rsidP="00D64CD6">
                      <w:pPr>
                        <w:spacing w:line="240" w:lineRule="auto"/>
                        <w:jc w:val="center"/>
                        <w:rPr>
                          <w:rFonts w:ascii="Poppins" w:hAnsi="Poppins" w:cs="Poppins"/>
                          <w:color w:val="000000"/>
                          <w:kern w:val="24"/>
                          <w:sz w:val="12"/>
                          <w:szCs w:val="12"/>
                        </w:rPr>
                      </w:pPr>
                      <w:r w:rsidRPr="00D64CD6">
                        <w:rPr>
                          <w:rFonts w:ascii="Poppins" w:hAnsi="Poppins" w:cs="Poppins"/>
                          <w:color w:val="000000"/>
                          <w:kern w:val="24"/>
                          <w:sz w:val="12"/>
                          <w:szCs w:val="12"/>
                        </w:rPr>
                        <w:t>Ex-ante inspection, prior approval (licensing), ex-post controls</w:t>
                      </w:r>
                    </w:p>
                  </w:txbxContent>
                </v:textbox>
                <w10:wrap anchorx="margin"/>
              </v:shape>
            </w:pict>
          </mc:Fallback>
        </mc:AlternateContent>
      </w:r>
      <w:r w:rsidR="009F14F9">
        <w:rPr>
          <w:noProof/>
          <w14:ligatures w14:val="standardContextual"/>
        </w:rPr>
        <w:drawing>
          <wp:anchor distT="0" distB="0" distL="114300" distR="114300" simplePos="0" relativeHeight="251658241" behindDoc="0" locked="0" layoutInCell="1" allowOverlap="1" wp14:anchorId="764CBB51" wp14:editId="5DA966EE">
            <wp:simplePos x="0" y="0"/>
            <wp:positionH relativeFrom="margin">
              <wp:align>right</wp:align>
            </wp:positionH>
            <wp:positionV relativeFrom="paragraph">
              <wp:posOffset>14512</wp:posOffset>
            </wp:positionV>
            <wp:extent cx="5928360" cy="3175093"/>
            <wp:effectExtent l="0" t="0" r="0" b="6350"/>
            <wp:wrapTopAndBottom/>
            <wp:docPr id="21" name="Picture 21">
              <a:extLst xmlns:a="http://schemas.openxmlformats.org/drawingml/2006/main">
                <a:ext uri="{FF2B5EF4-FFF2-40B4-BE49-F238E27FC236}">
                  <a16:creationId xmlns:a16="http://schemas.microsoft.com/office/drawing/2014/main" id="{C4734FA9-9B4A-AA9E-6665-5B806F823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4734FA9-9B4A-AA9E-6665-5B806F82336F}"/>
                        </a:ext>
                      </a:extLst>
                    </pic:cNvPr>
                    <pic:cNvPicPr>
                      <a:picLocks noChangeAspect="1"/>
                    </pic:cNvPicPr>
                  </pic:nvPicPr>
                  <pic:blipFill>
                    <a:blip r:embed="rId33"/>
                    <a:stretch>
                      <a:fillRect/>
                    </a:stretch>
                  </pic:blipFill>
                  <pic:spPr>
                    <a:xfrm>
                      <a:off x="0" y="0"/>
                      <a:ext cx="5928360" cy="3175093"/>
                    </a:xfrm>
                    <a:prstGeom prst="rect">
                      <a:avLst/>
                    </a:prstGeom>
                  </pic:spPr>
                </pic:pic>
              </a:graphicData>
            </a:graphic>
            <wp14:sizeRelH relativeFrom="margin">
              <wp14:pctWidth>0</wp14:pctWidth>
            </wp14:sizeRelH>
            <wp14:sizeRelV relativeFrom="margin">
              <wp14:pctHeight>0</wp14:pctHeight>
            </wp14:sizeRelV>
          </wp:anchor>
        </w:drawing>
      </w:r>
      <w:r w:rsidR="008B5EE0">
        <w:t xml:space="preserve">Source: </w:t>
      </w:r>
      <w:r w:rsidR="000834C6">
        <w:t>Molfetas and Grava, 2020.</w:t>
      </w:r>
    </w:p>
    <w:p w14:paraId="5859753E" w14:textId="5ECDA6EF" w:rsidR="00C030F9" w:rsidRDefault="00C030F9" w:rsidP="000318CD">
      <w:pPr>
        <w:pStyle w:val="Body"/>
      </w:pPr>
      <w:r w:rsidRPr="00AA6635">
        <w:rPr>
          <w:b/>
        </w:rPr>
        <w:t xml:space="preserve">Future simplification efforts could </w:t>
      </w:r>
      <w:r w:rsidR="00874318" w:rsidRPr="00AA6635">
        <w:rPr>
          <w:b/>
        </w:rPr>
        <w:t>follow a</w:t>
      </w:r>
      <w:r w:rsidRPr="00AA6635">
        <w:rPr>
          <w:b/>
        </w:rPr>
        <w:t xml:space="preserve"> risk-based methodology to calibrate the type of ex-ante controls (e.g., notification, approval, ex-ante inspection, etc.), and the documentation requirements (e.g., studies, permits, certificates, etc.), based on the risks posed by each economic activity.</w:t>
      </w:r>
      <w:r w:rsidRPr="008C64CB">
        <w:t xml:space="preserve"> This</w:t>
      </w:r>
      <w:r>
        <w:t xml:space="preserve"> would require taking stock of all the ex-ante controls, fees, and documentation requirements that apply to an economic activity. Hence, the review should not focus on the individual procedure/license level but on the “end-to-end” business life event (e.g., starting a business</w:t>
      </w:r>
      <w:r w:rsidR="00665923">
        <w:t xml:space="preserve"> in a specific sector</w:t>
      </w:r>
      <w:r>
        <w:t xml:space="preserve">). </w:t>
      </w:r>
      <w:r w:rsidR="00B93675" w:rsidRPr="00B93675">
        <w:t xml:space="preserve">Priorities for the review could be set based on (i) sectoral relevance (for productivity, employment, etc.); (ii) burden of regulations (based on survey and private sector consultations); and (iii) level of institutional coordination and capacity necessary to reform. </w:t>
      </w:r>
      <w:r>
        <w:t>Moreover, it would require conducting desk research to benchmark Viet Nam’s current regulatory approaches against those of other</w:t>
      </w:r>
      <w:r w:rsidR="009E170F">
        <w:t xml:space="preserve"> countries</w:t>
      </w:r>
      <w:r>
        <w:t xml:space="preserve"> (e.g., </w:t>
      </w:r>
      <w:r w:rsidRPr="00D87A57">
        <w:t xml:space="preserve">selected countries in the European Union, </w:t>
      </w:r>
      <w:r w:rsidR="00657C0C">
        <w:t>other</w:t>
      </w:r>
      <w:r w:rsidR="00657C0C" w:rsidRPr="00D87A57">
        <w:t xml:space="preserve"> </w:t>
      </w:r>
      <w:r w:rsidR="009C10C2">
        <w:t xml:space="preserve">OECD </w:t>
      </w:r>
      <w:r>
        <w:t>members, and other good practices</w:t>
      </w:r>
      <w:r w:rsidR="00637B86">
        <w:rPr>
          <w:rStyle w:val="FootnoteReference"/>
        </w:rPr>
        <w:footnoteReference w:id="101"/>
      </w:r>
      <w:r>
        <w:t xml:space="preserve">) and apply the strategic risk assessment methodology while reviewing economic activities in each sector. </w:t>
      </w:r>
    </w:p>
    <w:p w14:paraId="54BF29A6" w14:textId="61CE6234" w:rsidR="001F1B27" w:rsidRDefault="001F1B27" w:rsidP="000318CD">
      <w:pPr>
        <w:pStyle w:val="Body"/>
      </w:pPr>
      <w:r w:rsidRPr="00AA6635">
        <w:rPr>
          <w:b/>
        </w:rPr>
        <w:t>Over time, licensing reforms should be supported by reforms in inspection management</w:t>
      </w:r>
      <w:r w:rsidRPr="008C64CB">
        <w:t>. Licensing</w:t>
      </w:r>
      <w:r>
        <w:t xml:space="preserve"> and inspections </w:t>
      </w:r>
      <w:r w:rsidR="00F66774">
        <w:t>are</w:t>
      </w:r>
      <w:r>
        <w:t xml:space="preserve"> interrelated activities, and therefore it is important to develop regulatory strategies that consider ex-ante and ex-post controls </w:t>
      </w:r>
      <w:r w:rsidR="00414EB3">
        <w:t xml:space="preserve">(inspection) </w:t>
      </w:r>
      <w:r>
        <w:t>in parallel. This would ensure a coherent approach to business regulation whereby economic activities are treated consistently based on the risks they pose to the regulators’ objectives. Mainstreaming risk management in inspections would also help ensure that low-risk economic activities that are subject to lighter ex-ante controls, do not go undetected.</w:t>
      </w:r>
      <w:r w:rsidR="00E657EC">
        <w:t xml:space="preserve"> </w:t>
      </w:r>
    </w:p>
    <w:p w14:paraId="4A7EF30E" w14:textId="0CCA7E93" w:rsidR="009C0412" w:rsidRPr="00D64CD6" w:rsidRDefault="009C0412" w:rsidP="000318CD">
      <w:pPr>
        <w:pStyle w:val="Body"/>
        <w:rPr>
          <w:b/>
        </w:rPr>
      </w:pPr>
      <w:r w:rsidRPr="00C27879">
        <w:rPr>
          <w:rStyle w:val="Strong"/>
        </w:rPr>
        <w:t xml:space="preserve">For example, Greece </w:t>
      </w:r>
      <w:r w:rsidRPr="2E48626B">
        <w:rPr>
          <w:rStyle w:val="Strong"/>
        </w:rPr>
        <w:t>introduced</w:t>
      </w:r>
      <w:r w:rsidRPr="004A4577">
        <w:rPr>
          <w:rStyle w:val="Strong"/>
        </w:rPr>
        <w:t xml:space="preserve"> a streamlined risk-based licensing and</w:t>
      </w:r>
      <w:r>
        <w:rPr>
          <w:rStyle w:val="Strong"/>
        </w:rPr>
        <w:t xml:space="preserve"> </w:t>
      </w:r>
      <w:r w:rsidRPr="004A4577">
        <w:rPr>
          <w:rStyle w:val="Strong"/>
        </w:rPr>
        <w:t xml:space="preserve">inspections regime </w:t>
      </w:r>
      <w:r w:rsidR="00D66067" w:rsidRPr="00C27879">
        <w:rPr>
          <w:rStyle w:val="Strong"/>
        </w:rPr>
        <w:t xml:space="preserve">over the last decade </w:t>
      </w:r>
      <w:r w:rsidRPr="004A4577">
        <w:rPr>
          <w:rStyle w:val="Strong"/>
        </w:rPr>
        <w:t>that protects the public interest but reduces</w:t>
      </w:r>
      <w:r>
        <w:rPr>
          <w:rStyle w:val="Strong"/>
        </w:rPr>
        <w:t xml:space="preserve"> </w:t>
      </w:r>
      <w:r w:rsidRPr="004A4577">
        <w:rPr>
          <w:rStyle w:val="Strong"/>
        </w:rPr>
        <w:t xml:space="preserve">unnecessary burdens on businesses. </w:t>
      </w:r>
      <w:r w:rsidR="00EB4BC6" w:rsidRPr="00D64CD6">
        <w:rPr>
          <w:rStyle w:val="Strong"/>
          <w:b w:val="0"/>
          <w:bCs w:val="0"/>
        </w:rPr>
        <w:t xml:space="preserve">Starting with a horizontal law that introduced risk-based principles to licensing, the reforms </w:t>
      </w:r>
      <w:r w:rsidR="00345127" w:rsidRPr="00D64CD6">
        <w:rPr>
          <w:rStyle w:val="Strong"/>
          <w:b w:val="0"/>
          <w:bCs w:val="0"/>
        </w:rPr>
        <w:t>simplified licensing for over 300 economic activit</w:t>
      </w:r>
      <w:r w:rsidR="00A336CA" w:rsidRPr="00D64CD6">
        <w:rPr>
          <w:rStyle w:val="Strong"/>
          <w:b w:val="0"/>
          <w:bCs w:val="0"/>
        </w:rPr>
        <w:t>i</w:t>
      </w:r>
      <w:r w:rsidR="00345127" w:rsidRPr="00D64CD6">
        <w:rPr>
          <w:rStyle w:val="Strong"/>
          <w:b w:val="0"/>
          <w:bCs w:val="0"/>
        </w:rPr>
        <w:t>es</w:t>
      </w:r>
      <w:r w:rsidR="00A336CA" w:rsidRPr="00D64CD6">
        <w:rPr>
          <w:rStyle w:val="Strong"/>
          <w:b w:val="0"/>
          <w:bCs w:val="0"/>
        </w:rPr>
        <w:t>, reducing the time to comply</w:t>
      </w:r>
      <w:r w:rsidR="009358B1" w:rsidRPr="00D64CD6">
        <w:rPr>
          <w:rStyle w:val="Strong"/>
          <w:b w:val="0"/>
          <w:bCs w:val="0"/>
        </w:rPr>
        <w:t xml:space="preserve"> by several weeks up to </w:t>
      </w:r>
      <w:r w:rsidR="00134447" w:rsidRPr="00D64CD6">
        <w:rPr>
          <w:rStyle w:val="Strong"/>
          <w:b w:val="0"/>
          <w:bCs w:val="0"/>
        </w:rPr>
        <w:t xml:space="preserve">several months depending </w:t>
      </w:r>
      <w:r w:rsidR="00134447" w:rsidRPr="00D64CD6">
        <w:rPr>
          <w:rStyle w:val="Strong"/>
          <w:b w:val="0"/>
          <w:bCs w:val="0"/>
        </w:rPr>
        <w:lastRenderedPageBreak/>
        <w:t xml:space="preserve">on the activity. Complex licensing </w:t>
      </w:r>
      <w:r w:rsidR="00652441">
        <w:rPr>
          <w:rStyle w:val="Strong"/>
          <w:b w:val="0"/>
          <w:bCs w:val="0"/>
        </w:rPr>
        <w:t xml:space="preserve">requirements </w:t>
      </w:r>
      <w:r w:rsidR="002D744B" w:rsidRPr="00D64CD6">
        <w:rPr>
          <w:rStyle w:val="Strong"/>
          <w:b w:val="0"/>
          <w:bCs w:val="0"/>
        </w:rPr>
        <w:t>for low</w:t>
      </w:r>
      <w:r w:rsidR="00036C3C">
        <w:rPr>
          <w:rStyle w:val="Strong"/>
          <w:b w:val="0"/>
          <w:bCs w:val="0"/>
        </w:rPr>
        <w:t>-</w:t>
      </w:r>
      <w:r w:rsidR="002D744B" w:rsidRPr="00D64CD6">
        <w:rPr>
          <w:rStyle w:val="Strong"/>
          <w:b w:val="0"/>
          <w:bCs w:val="0"/>
        </w:rPr>
        <w:t xml:space="preserve">risk activities </w:t>
      </w:r>
      <w:r w:rsidR="00134447" w:rsidRPr="00D64CD6">
        <w:rPr>
          <w:rStyle w:val="Strong"/>
          <w:b w:val="0"/>
          <w:bCs w:val="0"/>
        </w:rPr>
        <w:t>w</w:t>
      </w:r>
      <w:r w:rsidR="003D0F7F">
        <w:rPr>
          <w:rStyle w:val="Strong"/>
          <w:b w:val="0"/>
          <w:bCs w:val="0"/>
        </w:rPr>
        <w:t>ere</w:t>
      </w:r>
      <w:r w:rsidR="00134447" w:rsidRPr="00D64CD6">
        <w:rPr>
          <w:rStyle w:val="Strong"/>
          <w:b w:val="0"/>
          <w:bCs w:val="0"/>
        </w:rPr>
        <w:t xml:space="preserve"> replaced by </w:t>
      </w:r>
      <w:r w:rsidR="002D744B" w:rsidRPr="00D64CD6">
        <w:rPr>
          <w:rStyle w:val="Strong"/>
          <w:b w:val="0"/>
          <w:bCs w:val="0"/>
        </w:rPr>
        <w:t xml:space="preserve">a simple </w:t>
      </w:r>
      <w:r w:rsidR="00134447" w:rsidRPr="00D64CD6">
        <w:rPr>
          <w:rStyle w:val="Strong"/>
          <w:b w:val="0"/>
          <w:bCs w:val="0"/>
        </w:rPr>
        <w:t>notification</w:t>
      </w:r>
      <w:r w:rsidR="005F2E21" w:rsidRPr="00D64CD6">
        <w:rPr>
          <w:rStyle w:val="Strong"/>
          <w:b w:val="0"/>
          <w:bCs w:val="0"/>
        </w:rPr>
        <w:t xml:space="preserve">. </w:t>
      </w:r>
      <w:r w:rsidR="00840B4E" w:rsidRPr="00D64CD6">
        <w:rPr>
          <w:rStyle w:val="Strong"/>
          <w:b w:val="0"/>
          <w:bCs w:val="0"/>
        </w:rPr>
        <w:t xml:space="preserve">A new Integrated Licensing and </w:t>
      </w:r>
      <w:r w:rsidR="00C35817" w:rsidRPr="00D64CD6">
        <w:rPr>
          <w:rStyle w:val="Strong"/>
          <w:b w:val="0"/>
          <w:bCs w:val="0"/>
        </w:rPr>
        <w:t xml:space="preserve">Inspection Management system is currently under implementation. </w:t>
      </w:r>
      <w:r w:rsidR="00513702" w:rsidRPr="00D64CD6">
        <w:rPr>
          <w:rStyle w:val="Strong"/>
          <w:b w:val="0"/>
          <w:bCs w:val="0"/>
        </w:rPr>
        <w:t xml:space="preserve"> </w:t>
      </w:r>
      <w:r w:rsidR="00134447" w:rsidRPr="00D64CD6">
        <w:rPr>
          <w:rStyle w:val="Strong"/>
          <w:b w:val="0"/>
          <w:bCs w:val="0"/>
        </w:rPr>
        <w:t xml:space="preserve"> </w:t>
      </w:r>
    </w:p>
    <w:p w14:paraId="445BA4E0" w14:textId="6A9AD186" w:rsidR="008B380E" w:rsidRPr="00050A9C" w:rsidRDefault="000A29D5" w:rsidP="00CF13CA">
      <w:pPr>
        <w:pStyle w:val="Heading3"/>
        <w:spacing w:before="100" w:beforeAutospacing="1" w:after="100" w:afterAutospacing="1"/>
      </w:pPr>
      <w:r>
        <w:t xml:space="preserve">Clarify </w:t>
      </w:r>
      <w:r w:rsidR="008B380E">
        <w:t xml:space="preserve">the list of conditional business activities in the Investment Law. </w:t>
      </w:r>
    </w:p>
    <w:p w14:paraId="0AD10882" w14:textId="2307A1ED" w:rsidR="008B380E" w:rsidRPr="00C90607" w:rsidRDefault="00C90607">
      <w:pPr>
        <w:pStyle w:val="Body"/>
        <w:rPr>
          <w:rFonts w:ascii="Calibri" w:hAnsi="Calibri" w:cs="Calibri"/>
        </w:rPr>
      </w:pPr>
      <w:r w:rsidRPr="00AA6635">
        <w:rPr>
          <w:rFonts w:ascii="Calibri" w:hAnsi="Calibri" w:cs="Calibri"/>
          <w:b/>
          <w:bCs/>
        </w:rPr>
        <w:t xml:space="preserve">The list of the 227 conditional business lines </w:t>
      </w:r>
      <w:r w:rsidR="00185003" w:rsidRPr="00AA6635">
        <w:rPr>
          <w:rFonts w:ascii="Calibri" w:hAnsi="Calibri" w:cs="Calibri"/>
          <w:b/>
          <w:bCs/>
        </w:rPr>
        <w:t>in the</w:t>
      </w:r>
      <w:r w:rsidR="000223E8" w:rsidRPr="00AA6635">
        <w:rPr>
          <w:rFonts w:ascii="Calibri" w:hAnsi="Calibri" w:cs="Calibri"/>
          <w:b/>
          <w:bCs/>
        </w:rPr>
        <w:t xml:space="preserve"> Appendix IV of the Investment Law </w:t>
      </w:r>
      <w:r w:rsidRPr="00AA6635">
        <w:rPr>
          <w:rFonts w:ascii="Calibri" w:hAnsi="Calibri" w:cs="Calibri"/>
          <w:b/>
          <w:bCs/>
        </w:rPr>
        <w:t>could be clarified by using a standardized classification of economic activities as a basis, and by ensuring that the business lines refer to the same level of the classification</w:t>
      </w:r>
      <w:r w:rsidRPr="00921197">
        <w:rPr>
          <w:rFonts w:ascii="Calibri" w:hAnsi="Calibri" w:cs="Calibri"/>
        </w:rPr>
        <w:t xml:space="preserve"> (e.g., </w:t>
      </w:r>
      <w:r w:rsidR="00E44854">
        <w:rPr>
          <w:rFonts w:ascii="Calibri" w:hAnsi="Calibri" w:cs="Calibri"/>
        </w:rPr>
        <w:t xml:space="preserve">VSIC </w:t>
      </w:r>
      <w:r w:rsidRPr="00921197">
        <w:rPr>
          <w:rFonts w:ascii="Calibri" w:hAnsi="Calibri" w:cs="Calibri"/>
        </w:rPr>
        <w:t xml:space="preserve">four-digit level) since the current list refers to uneven levels of economic classification. </w:t>
      </w:r>
      <w:r w:rsidRPr="0064533A">
        <w:rPr>
          <w:rFonts w:ascii="Calibri" w:hAnsi="Calibri" w:cs="Calibri"/>
        </w:rPr>
        <w:t>A standardized classification would facilitate the process for a business</w:t>
      </w:r>
      <w:r w:rsidR="00D010ED">
        <w:rPr>
          <w:rFonts w:ascii="Calibri" w:hAnsi="Calibri" w:cs="Calibri"/>
        </w:rPr>
        <w:t xml:space="preserve"> </w:t>
      </w:r>
      <w:r w:rsidR="4DF0AFF4" w:rsidRPr="00AA6635">
        <w:rPr>
          <w:rFonts w:ascii="Calibri" w:hAnsi="Calibri" w:cs="Calibri"/>
        </w:rPr>
        <w:t>manager</w:t>
      </w:r>
      <w:r w:rsidRPr="0064533A">
        <w:rPr>
          <w:rFonts w:ascii="Calibri" w:hAnsi="Calibri" w:cs="Calibri"/>
        </w:rPr>
        <w:t xml:space="preserve"> to check the ex-ante requirements that apply to the</w:t>
      </w:r>
      <w:r w:rsidR="000B5B8B">
        <w:rPr>
          <w:rFonts w:ascii="Calibri" w:hAnsi="Calibri" w:cs="Calibri"/>
        </w:rPr>
        <w:t>se</w:t>
      </w:r>
      <w:r w:rsidRPr="0064533A">
        <w:rPr>
          <w:rFonts w:ascii="Calibri" w:hAnsi="Calibri" w:cs="Calibri"/>
        </w:rPr>
        <w:t xml:space="preserve"> economic activities, the operating conditions, and obtain all necessary approvals before commencing operations. </w:t>
      </w:r>
      <w:r w:rsidRPr="00921197">
        <w:rPr>
          <w:rFonts w:ascii="Calibri" w:hAnsi="Calibri" w:cs="Calibri"/>
        </w:rPr>
        <w:t xml:space="preserve">Moreover, the list of conditional business lines may need to be refined if the </w:t>
      </w:r>
      <w:r w:rsidRPr="0064533A">
        <w:rPr>
          <w:rFonts w:ascii="Calibri" w:hAnsi="Calibri" w:cs="Calibri"/>
        </w:rPr>
        <w:t>government</w:t>
      </w:r>
      <w:r w:rsidRPr="00921197">
        <w:rPr>
          <w:rFonts w:ascii="Calibri" w:hAnsi="Calibri" w:cs="Calibri"/>
        </w:rPr>
        <w:t xml:space="preserve"> decides to implement a risk-based approach to business licensing since some of the activities currently subject to ex-ante controls may be deemed of low risk and be deregulated</w:t>
      </w:r>
      <w:r w:rsidR="00F07628">
        <w:rPr>
          <w:rFonts w:ascii="Calibri" w:hAnsi="Calibri" w:cs="Calibri"/>
        </w:rPr>
        <w:t>.</w:t>
      </w:r>
      <w:r w:rsidR="00910A12">
        <w:rPr>
          <w:rStyle w:val="FootnoteReference"/>
          <w:rFonts w:ascii="Calibri" w:hAnsi="Calibri" w:cs="Calibri"/>
        </w:rPr>
        <w:footnoteReference w:id="102"/>
      </w:r>
      <w:r w:rsidRPr="00921197">
        <w:rPr>
          <w:rFonts w:ascii="Calibri" w:hAnsi="Calibri" w:cs="Calibri"/>
        </w:rPr>
        <w:t xml:space="preserve"> Similarly, some activities not currently subject to ex-ante controls may be deemed of higher risk and be included in the list. </w:t>
      </w:r>
    </w:p>
    <w:p w14:paraId="72CD4704" w14:textId="2B676DD2" w:rsidR="00C62D19" w:rsidRPr="00C62D19" w:rsidRDefault="000A29D5" w:rsidP="00CF13CA">
      <w:pPr>
        <w:pStyle w:val="Heading3"/>
        <w:spacing w:before="100" w:beforeAutospacing="1" w:after="100" w:afterAutospacing="1"/>
      </w:pPr>
      <w:r>
        <w:t>Introduce</w:t>
      </w:r>
      <w:r w:rsidR="00C62D19" w:rsidRPr="00C62D19">
        <w:t xml:space="preserve"> a horizontal legal framework for business licensing. </w:t>
      </w:r>
    </w:p>
    <w:p w14:paraId="47CB29CE" w14:textId="53B48B42" w:rsidR="00ED14E1" w:rsidRDefault="0D5342B0" w:rsidP="000F4B91">
      <w:pPr>
        <w:pStyle w:val="Body"/>
      </w:pPr>
      <w:r w:rsidRPr="00AA6635">
        <w:rPr>
          <w:b/>
          <w:bCs/>
        </w:rPr>
        <w:t>While t</w:t>
      </w:r>
      <w:r w:rsidR="2DD586B1" w:rsidRPr="00AA6635">
        <w:rPr>
          <w:b/>
          <w:bCs/>
        </w:rPr>
        <w:t>here is no established international best practice on the legislative design for licensing regimes, some countries</w:t>
      </w:r>
      <w:r w:rsidR="0B1101D3" w:rsidRPr="00AA6635">
        <w:rPr>
          <w:b/>
          <w:bCs/>
        </w:rPr>
        <w:t xml:space="preserve"> have</w:t>
      </w:r>
      <w:r w:rsidR="2DD586B1" w:rsidRPr="00AA6635">
        <w:rPr>
          <w:b/>
          <w:bCs/>
        </w:rPr>
        <w:t xml:space="preserve"> introduced a horizontal legal framework on licensing (also known as an “umbrella law</w:t>
      </w:r>
      <w:r w:rsidR="44F8BF0C" w:rsidRPr="15E5BA73">
        <w:rPr>
          <w:b/>
          <w:bCs/>
        </w:rPr>
        <w:t>”</w:t>
      </w:r>
      <w:r w:rsidR="0B1101D3" w:rsidRPr="00AA6635">
        <w:rPr>
          <w:b/>
          <w:bCs/>
        </w:rPr>
        <w:t>)</w:t>
      </w:r>
      <w:r w:rsidR="6EFB5519">
        <w:t xml:space="preserve">. </w:t>
      </w:r>
      <w:r w:rsidR="71972A81">
        <w:t xml:space="preserve">These countries include </w:t>
      </w:r>
      <w:r w:rsidR="2DD586B1">
        <w:t>China,</w:t>
      </w:r>
      <w:r w:rsidR="00ED14E1" w:rsidRPr="00C51336">
        <w:rPr>
          <w:vertAlign w:val="superscript"/>
        </w:rPr>
        <w:footnoteReference w:id="103"/>
      </w:r>
      <w:r w:rsidR="2DD586B1">
        <w:t xml:space="preserve"> Georgia,</w:t>
      </w:r>
      <w:r w:rsidR="00ED14E1" w:rsidRPr="00C51336">
        <w:rPr>
          <w:vertAlign w:val="superscript"/>
        </w:rPr>
        <w:footnoteReference w:id="104"/>
      </w:r>
      <w:r w:rsidR="2DD586B1">
        <w:t xml:space="preserve"> Greece,</w:t>
      </w:r>
      <w:r w:rsidR="00ED14E1" w:rsidRPr="00C51336">
        <w:rPr>
          <w:rStyle w:val="FootnoteReference"/>
          <w:rFonts w:ascii="Calibri" w:hAnsi="Calibri" w:cs="Calibri"/>
        </w:rPr>
        <w:footnoteReference w:id="105"/>
      </w:r>
      <w:r w:rsidR="2DD586B1">
        <w:t xml:space="preserve"> Kazakhstan,</w:t>
      </w:r>
      <w:r w:rsidR="00ED14E1" w:rsidRPr="00C51336">
        <w:rPr>
          <w:vertAlign w:val="superscript"/>
        </w:rPr>
        <w:footnoteReference w:id="106"/>
      </w:r>
      <w:r w:rsidR="2DD586B1">
        <w:t xml:space="preserve"> Mongolia,</w:t>
      </w:r>
      <w:r w:rsidR="00ED14E1" w:rsidRPr="00C51336">
        <w:rPr>
          <w:vertAlign w:val="superscript"/>
        </w:rPr>
        <w:footnoteReference w:id="107"/>
      </w:r>
      <w:r w:rsidR="2DD586B1">
        <w:t xml:space="preserve"> Ukraine,</w:t>
      </w:r>
      <w:r w:rsidR="00ED14E1" w:rsidRPr="00C51336">
        <w:rPr>
          <w:vertAlign w:val="superscript"/>
        </w:rPr>
        <w:footnoteReference w:id="108"/>
      </w:r>
      <w:r w:rsidR="2DD586B1">
        <w:t xml:space="preserve"> and Russia.</w:t>
      </w:r>
      <w:r w:rsidR="00ED14E1" w:rsidRPr="00C51336">
        <w:rPr>
          <w:vertAlign w:val="superscript"/>
        </w:rPr>
        <w:footnoteReference w:id="109"/>
      </w:r>
      <w:r w:rsidR="2DD586B1" w:rsidRPr="00C51336">
        <w:t xml:space="preserve"> </w:t>
      </w:r>
      <w:r w:rsidR="2DD586B1">
        <w:t xml:space="preserve">In these countries, licensing was nearly universal, and service delivery was unpredictable, corruption-prone, </w:t>
      </w:r>
      <w:bookmarkStart w:id="28" w:name="_Int_PWVNwgHs"/>
      <w:bookmarkStart w:id="29" w:name="_Int_HidXHjSh"/>
      <w:r w:rsidR="2DD586B1">
        <w:t>and with</w:t>
      </w:r>
      <w:bookmarkEnd w:id="28"/>
      <w:bookmarkEnd w:id="29"/>
      <w:r w:rsidR="2DD586B1">
        <w:t xml:space="preserve"> co</w:t>
      </w:r>
      <w:r w:rsidR="000A29D5">
        <w:t>mplex</w:t>
      </w:r>
      <w:r w:rsidR="2DD586B1">
        <w:t xml:space="preserve"> procedures before the adoption of a</w:t>
      </w:r>
      <w:r w:rsidR="35C11D3B">
        <w:t>n</w:t>
      </w:r>
      <w:r w:rsidR="2DD586B1">
        <w:t xml:space="preserve"> integrated legal framework. Such umbrella law unified previously fragmented and scattered licensing laws and regulations and introduced a common framework of principles, vocabularies, classification</w:t>
      </w:r>
      <w:r w:rsidR="23F68E71">
        <w:t xml:space="preserve">, and </w:t>
      </w:r>
      <w:r w:rsidR="70298614">
        <w:t>licensing-related procedures</w:t>
      </w:r>
      <w:r w:rsidR="2DD586B1">
        <w:t xml:space="preserve">. The umbrella law in some cases enabled scalability in the deployment of regulatory technologies. </w:t>
      </w:r>
      <w:r w:rsidR="00836F53">
        <w:t xml:space="preserve">Not all countries have an umbrella law, however. Instead, </w:t>
      </w:r>
      <w:r w:rsidR="00A51A45">
        <w:t>a majority of</w:t>
      </w:r>
      <w:r w:rsidR="00D157B7">
        <w:t xml:space="preserve"> countries</w:t>
      </w:r>
      <w:r w:rsidR="00A51A45">
        <w:t xml:space="preserve">, </w:t>
      </w:r>
      <w:r w:rsidR="00A51A45" w:rsidRPr="00C51336">
        <w:t>includ</w:t>
      </w:r>
      <w:r w:rsidR="00A51A45">
        <w:t>ing</w:t>
      </w:r>
      <w:r w:rsidR="00A51A45" w:rsidRPr="00C51336">
        <w:t xml:space="preserve"> many </w:t>
      </w:r>
      <w:r w:rsidR="00D010ED">
        <w:t>high-income</w:t>
      </w:r>
      <w:r w:rsidR="00A51A45">
        <w:t xml:space="preserve"> </w:t>
      </w:r>
      <w:r w:rsidR="00A51A45" w:rsidRPr="00C51336">
        <w:t>countries</w:t>
      </w:r>
      <w:r w:rsidR="00A51A45" w:rsidDel="00836F53">
        <w:t xml:space="preserve"> </w:t>
      </w:r>
      <w:r w:rsidR="004D1A71">
        <w:t>rely on</w:t>
      </w:r>
      <w:r w:rsidR="2DD586B1" w:rsidRPr="00C51336">
        <w:t xml:space="preserve"> multiple sector-specific laws that govern an overall licensing regime</w:t>
      </w:r>
      <w:r w:rsidR="00A51A45">
        <w:t xml:space="preserve">. </w:t>
      </w:r>
      <w:r w:rsidR="2DD586B1" w:rsidRPr="00C51336">
        <w:t xml:space="preserve"> </w:t>
      </w:r>
      <w:r w:rsidR="00CC5094">
        <w:t xml:space="preserve">The advantages and </w:t>
      </w:r>
      <w:r w:rsidR="00F8502D">
        <w:t>disadvantages</w:t>
      </w:r>
      <w:r w:rsidR="00CC5094">
        <w:t xml:space="preserve"> </w:t>
      </w:r>
      <w:r w:rsidR="00E42F40">
        <w:t xml:space="preserve">of both approaches are summarized in table </w:t>
      </w:r>
      <w:r w:rsidR="00C724CC">
        <w:t>2</w:t>
      </w:r>
      <w:r w:rsidR="00E42F40">
        <w:t>.</w:t>
      </w:r>
    </w:p>
    <w:p w14:paraId="00D73970" w14:textId="3AFC60C8" w:rsidR="00E42F40" w:rsidRPr="00A558E1" w:rsidRDefault="00E42F40" w:rsidP="00D64CD6">
      <w:pPr>
        <w:pStyle w:val="Body"/>
      </w:pPr>
      <w:bookmarkStart w:id="30" w:name="_Ref163480677"/>
      <w:bookmarkStart w:id="31" w:name="_Ref163480681"/>
      <w:r w:rsidRPr="00D64CD6">
        <w:rPr>
          <w:b/>
          <w:bCs/>
          <w:color w:val="4472C4" w:themeColor="accent1"/>
        </w:rPr>
        <w:t xml:space="preserve">Table </w:t>
      </w:r>
      <w:r w:rsidRPr="00D64CD6">
        <w:rPr>
          <w:b/>
          <w:bCs/>
          <w:color w:val="4472C4" w:themeColor="accent1"/>
        </w:rPr>
        <w:fldChar w:fldCharType="begin"/>
      </w:r>
      <w:r w:rsidRPr="00D64CD6">
        <w:rPr>
          <w:b/>
          <w:bCs/>
          <w:color w:val="4472C4" w:themeColor="accent1"/>
        </w:rPr>
        <w:instrText xml:space="preserve"> SEQ Table \* ARABIC </w:instrText>
      </w:r>
      <w:r w:rsidRPr="00D64CD6">
        <w:rPr>
          <w:b/>
          <w:bCs/>
          <w:color w:val="4472C4" w:themeColor="accent1"/>
        </w:rPr>
        <w:fldChar w:fldCharType="separate"/>
      </w:r>
      <w:r w:rsidRPr="00D64CD6">
        <w:rPr>
          <w:b/>
          <w:bCs/>
          <w:color w:val="4472C4" w:themeColor="accent1"/>
        </w:rPr>
        <w:t>4</w:t>
      </w:r>
      <w:r w:rsidRPr="00D64CD6">
        <w:rPr>
          <w:b/>
          <w:bCs/>
          <w:color w:val="4472C4" w:themeColor="accent1"/>
        </w:rPr>
        <w:fldChar w:fldCharType="end"/>
      </w:r>
      <w:bookmarkEnd w:id="30"/>
      <w:r w:rsidRPr="00D64CD6">
        <w:rPr>
          <w:b/>
          <w:bCs/>
          <w:color w:val="4472C4" w:themeColor="accent1"/>
        </w:rPr>
        <w:t>: Comparison of approaches on the legislative design for business licensing</w:t>
      </w:r>
      <w:bookmarkEnd w:id="31"/>
    </w:p>
    <w:tbl>
      <w:tblPr>
        <w:tblStyle w:val="TableGrid"/>
        <w:tblW w:w="5000" w:type="pct"/>
        <w:tblLook w:val="04A0" w:firstRow="1" w:lastRow="0" w:firstColumn="1" w:lastColumn="0" w:noHBand="0" w:noVBand="1"/>
      </w:tblPr>
      <w:tblGrid>
        <w:gridCol w:w="4675"/>
        <w:gridCol w:w="4675"/>
      </w:tblGrid>
      <w:tr w:rsidR="00E42F40" w:rsidRPr="00096F0D" w14:paraId="6E42D996" w14:textId="77777777" w:rsidTr="00D64CD6">
        <w:trPr>
          <w:cantSplit/>
          <w:tblHeader/>
        </w:trPr>
        <w:tc>
          <w:tcPr>
            <w:tcW w:w="2500" w:type="pct"/>
            <w:vAlign w:val="center"/>
          </w:tcPr>
          <w:p w14:paraId="5BC32553" w14:textId="77777777" w:rsidR="00E42F40" w:rsidRPr="00241C86" w:rsidRDefault="00E42F40">
            <w:pPr>
              <w:rPr>
                <w:rFonts w:ascii="Calibri" w:hAnsi="Calibri" w:cs="Calibri"/>
                <w:b/>
              </w:rPr>
            </w:pPr>
            <w:r w:rsidRPr="00241C86">
              <w:rPr>
                <w:rFonts w:ascii="Calibri" w:hAnsi="Calibri" w:cs="Calibri"/>
                <w:b/>
              </w:rPr>
              <w:lastRenderedPageBreak/>
              <w:t>Single Framework Law on Operational Licenses and Notifications</w:t>
            </w:r>
          </w:p>
        </w:tc>
        <w:tc>
          <w:tcPr>
            <w:tcW w:w="2500" w:type="pct"/>
            <w:vAlign w:val="center"/>
          </w:tcPr>
          <w:p w14:paraId="687BBE5D" w14:textId="77777777" w:rsidR="00E42F40" w:rsidRPr="00241C86" w:rsidRDefault="00E42F40">
            <w:pPr>
              <w:rPr>
                <w:rFonts w:ascii="Calibri" w:hAnsi="Calibri" w:cs="Calibri"/>
                <w:b/>
              </w:rPr>
            </w:pPr>
            <w:r w:rsidRPr="00241C86">
              <w:rPr>
                <w:rFonts w:ascii="Calibri" w:hAnsi="Calibri" w:cs="Calibri"/>
                <w:b/>
              </w:rPr>
              <w:t>Multiple Sector-Specific Laws</w:t>
            </w:r>
          </w:p>
        </w:tc>
      </w:tr>
      <w:tr w:rsidR="00E42F40" w:rsidRPr="00096F0D" w14:paraId="1E297714" w14:textId="77777777" w:rsidTr="00D64CD6">
        <w:trPr>
          <w:cantSplit/>
        </w:trPr>
        <w:tc>
          <w:tcPr>
            <w:tcW w:w="2500" w:type="pct"/>
          </w:tcPr>
          <w:p w14:paraId="15A24D99" w14:textId="77777777" w:rsidR="00E42F40" w:rsidRPr="00241C86" w:rsidRDefault="00E42F40">
            <w:pPr>
              <w:jc w:val="both"/>
              <w:rPr>
                <w:rFonts w:ascii="Calibri" w:hAnsi="Calibri" w:cs="Calibri"/>
                <w:u w:val="single"/>
              </w:rPr>
            </w:pPr>
            <w:r>
              <w:rPr>
                <w:rFonts w:ascii="Calibri" w:hAnsi="Calibri" w:cs="Calibri"/>
                <w:u w:val="single"/>
              </w:rPr>
              <w:t>Advantages</w:t>
            </w:r>
            <w:r w:rsidRPr="00241C86">
              <w:rPr>
                <w:rFonts w:ascii="Calibri" w:hAnsi="Calibri" w:cs="Calibri"/>
                <w:u w:val="single"/>
              </w:rPr>
              <w:t>:</w:t>
            </w:r>
          </w:p>
          <w:p w14:paraId="0E87B509" w14:textId="77777777" w:rsidR="00E42F40" w:rsidRPr="00241C86" w:rsidRDefault="00E42F40" w:rsidP="00E42F40">
            <w:pPr>
              <w:numPr>
                <w:ilvl w:val="0"/>
                <w:numId w:val="42"/>
              </w:numPr>
              <w:ind w:left="341"/>
              <w:rPr>
                <w:rFonts w:ascii="Calibri" w:hAnsi="Calibri" w:cs="Calibri"/>
              </w:rPr>
            </w:pPr>
            <w:r w:rsidRPr="00241C86">
              <w:rPr>
                <w:rFonts w:ascii="Calibri" w:hAnsi="Calibri" w:cs="Calibri"/>
              </w:rPr>
              <w:t>Uniformity and clarity of</w:t>
            </w:r>
            <w:r>
              <w:rPr>
                <w:rFonts w:ascii="Calibri" w:hAnsi="Calibri" w:cs="Calibri"/>
              </w:rPr>
              <w:t xml:space="preserve"> the</w:t>
            </w:r>
            <w:r w:rsidRPr="00241C86">
              <w:rPr>
                <w:rFonts w:ascii="Calibri" w:hAnsi="Calibri" w:cs="Calibri"/>
              </w:rPr>
              <w:t xml:space="preserve"> overall licensing regime</w:t>
            </w:r>
          </w:p>
          <w:p w14:paraId="0738D491" w14:textId="77777777" w:rsidR="00E42F40" w:rsidRPr="00241C86" w:rsidRDefault="00E42F40" w:rsidP="00E42F40">
            <w:pPr>
              <w:numPr>
                <w:ilvl w:val="0"/>
                <w:numId w:val="42"/>
              </w:numPr>
              <w:ind w:left="341"/>
              <w:rPr>
                <w:rFonts w:ascii="Calibri" w:hAnsi="Calibri" w:cs="Calibri"/>
              </w:rPr>
            </w:pPr>
            <w:r w:rsidRPr="00241C86">
              <w:rPr>
                <w:rFonts w:ascii="Calibri" w:hAnsi="Calibri" w:cs="Calibri"/>
              </w:rPr>
              <w:t>Ease in monitoring licensing proliferation</w:t>
            </w:r>
            <w:r>
              <w:rPr>
                <w:rFonts w:ascii="Calibri" w:hAnsi="Calibri" w:cs="Calibri"/>
              </w:rPr>
              <w:t>, and maintaining stability and predictability of the overall licensing regime</w:t>
            </w:r>
          </w:p>
          <w:p w14:paraId="2A3F7E4B" w14:textId="77777777" w:rsidR="00E42F40" w:rsidRPr="00241C86" w:rsidRDefault="00E42F40" w:rsidP="00E42F40">
            <w:pPr>
              <w:numPr>
                <w:ilvl w:val="0"/>
                <w:numId w:val="42"/>
              </w:numPr>
              <w:ind w:left="341"/>
              <w:rPr>
                <w:rFonts w:ascii="Calibri" w:hAnsi="Calibri" w:cs="Calibri"/>
              </w:rPr>
            </w:pPr>
            <w:r w:rsidRPr="00241C86">
              <w:rPr>
                <w:rFonts w:ascii="Calibri" w:hAnsi="Calibri" w:cs="Calibri"/>
              </w:rPr>
              <w:t xml:space="preserve">Possibly speed of </w:t>
            </w:r>
            <w:r>
              <w:rPr>
                <w:rFonts w:ascii="Calibri" w:hAnsi="Calibri" w:cs="Calibri"/>
              </w:rPr>
              <w:t xml:space="preserve">the </w:t>
            </w:r>
            <w:r w:rsidRPr="00241C86">
              <w:rPr>
                <w:rFonts w:ascii="Calibri" w:hAnsi="Calibri" w:cs="Calibri"/>
              </w:rPr>
              <w:t>overall reform</w:t>
            </w:r>
          </w:p>
          <w:p w14:paraId="60DCBEE3" w14:textId="77777777" w:rsidR="00E42F40" w:rsidRPr="00241C86" w:rsidRDefault="00E42F40">
            <w:pPr>
              <w:jc w:val="both"/>
              <w:rPr>
                <w:rFonts w:ascii="Calibri" w:hAnsi="Calibri" w:cs="Calibri"/>
              </w:rPr>
            </w:pPr>
          </w:p>
        </w:tc>
        <w:tc>
          <w:tcPr>
            <w:tcW w:w="2500" w:type="pct"/>
          </w:tcPr>
          <w:p w14:paraId="0F93FAC9" w14:textId="77777777" w:rsidR="00E42F40" w:rsidRPr="00241C86" w:rsidRDefault="00E42F40">
            <w:pPr>
              <w:jc w:val="both"/>
              <w:rPr>
                <w:rFonts w:ascii="Calibri" w:hAnsi="Calibri" w:cs="Calibri"/>
                <w:u w:val="single"/>
              </w:rPr>
            </w:pPr>
            <w:r>
              <w:rPr>
                <w:rFonts w:ascii="Calibri" w:hAnsi="Calibri" w:cs="Calibri"/>
                <w:u w:val="single"/>
              </w:rPr>
              <w:t>Advantages</w:t>
            </w:r>
            <w:r w:rsidRPr="00241C86">
              <w:rPr>
                <w:rFonts w:ascii="Calibri" w:hAnsi="Calibri" w:cs="Calibri"/>
                <w:u w:val="single"/>
              </w:rPr>
              <w:t>:</w:t>
            </w:r>
          </w:p>
          <w:p w14:paraId="3B08AF36" w14:textId="77777777" w:rsidR="00E42F40" w:rsidRPr="00241C86" w:rsidRDefault="00E42F40" w:rsidP="00E42F40">
            <w:pPr>
              <w:numPr>
                <w:ilvl w:val="0"/>
                <w:numId w:val="45"/>
              </w:numPr>
              <w:ind w:left="425"/>
              <w:rPr>
                <w:rFonts w:ascii="Calibri" w:hAnsi="Calibri" w:cs="Calibri"/>
              </w:rPr>
            </w:pPr>
            <w:r w:rsidRPr="00241C86">
              <w:rPr>
                <w:rFonts w:ascii="Calibri" w:hAnsi="Calibri" w:cs="Calibri"/>
              </w:rPr>
              <w:t>Familiar legislative framework</w:t>
            </w:r>
            <w:r>
              <w:rPr>
                <w:rFonts w:ascii="Calibri" w:hAnsi="Calibri" w:cs="Calibri"/>
              </w:rPr>
              <w:t xml:space="preserve"> – no</w:t>
            </w:r>
            <w:r w:rsidRPr="00241C86">
              <w:rPr>
                <w:rFonts w:ascii="Calibri" w:hAnsi="Calibri" w:cs="Calibri"/>
              </w:rPr>
              <w:t xml:space="preserve"> additional new legislation</w:t>
            </w:r>
            <w:r>
              <w:rPr>
                <w:rFonts w:ascii="Calibri" w:hAnsi="Calibri" w:cs="Calibri"/>
              </w:rPr>
              <w:t xml:space="preserve"> needed,</w:t>
            </w:r>
          </w:p>
          <w:p w14:paraId="57367B50" w14:textId="77777777" w:rsidR="00E42F40" w:rsidRPr="00241C86" w:rsidRDefault="00E42F40" w:rsidP="00E42F40">
            <w:pPr>
              <w:numPr>
                <w:ilvl w:val="0"/>
                <w:numId w:val="45"/>
              </w:numPr>
              <w:ind w:left="425"/>
              <w:rPr>
                <w:rFonts w:ascii="Calibri" w:hAnsi="Calibri" w:cs="Calibri"/>
              </w:rPr>
            </w:pPr>
            <w:r>
              <w:rPr>
                <w:rFonts w:ascii="Calibri" w:hAnsi="Calibri" w:cs="Calibri"/>
              </w:rPr>
              <w:t>Not required to have consensus and/or</w:t>
            </w:r>
            <w:r w:rsidRPr="00241C86">
              <w:rPr>
                <w:rFonts w:ascii="Calibri" w:hAnsi="Calibri" w:cs="Calibri"/>
              </w:rPr>
              <w:t xml:space="preserve"> make decisions at the highest level </w:t>
            </w:r>
          </w:p>
          <w:p w14:paraId="60259DF4" w14:textId="77777777" w:rsidR="00E42F40" w:rsidRPr="00241C86" w:rsidRDefault="00E42F40" w:rsidP="00E42F40">
            <w:pPr>
              <w:numPr>
                <w:ilvl w:val="0"/>
                <w:numId w:val="43"/>
              </w:numPr>
              <w:ind w:left="425"/>
              <w:rPr>
                <w:rFonts w:ascii="Calibri" w:hAnsi="Calibri" w:cs="Calibri"/>
              </w:rPr>
            </w:pPr>
            <w:r w:rsidRPr="00241C86">
              <w:rPr>
                <w:rFonts w:ascii="Calibri" w:hAnsi="Calibri" w:cs="Calibri"/>
              </w:rPr>
              <w:t>Possibility to implement reforms gradually</w:t>
            </w:r>
            <w:r>
              <w:rPr>
                <w:rFonts w:ascii="Calibri" w:hAnsi="Calibri" w:cs="Calibri"/>
              </w:rPr>
              <w:t>, with some regulatory domains maturing faster than others</w:t>
            </w:r>
          </w:p>
        </w:tc>
      </w:tr>
      <w:tr w:rsidR="00E42F40" w:rsidRPr="00096F0D" w14:paraId="216A07CF" w14:textId="77777777" w:rsidTr="00D64CD6">
        <w:trPr>
          <w:cantSplit/>
          <w:trHeight w:val="1592"/>
        </w:trPr>
        <w:tc>
          <w:tcPr>
            <w:tcW w:w="2500" w:type="pct"/>
          </w:tcPr>
          <w:p w14:paraId="37CA0126" w14:textId="77777777" w:rsidR="00E42F40" w:rsidRPr="00241C86" w:rsidRDefault="00E42F40">
            <w:pPr>
              <w:jc w:val="both"/>
              <w:rPr>
                <w:rFonts w:ascii="Calibri" w:hAnsi="Calibri" w:cs="Calibri"/>
                <w:u w:val="single"/>
              </w:rPr>
            </w:pPr>
            <w:r>
              <w:rPr>
                <w:rFonts w:ascii="Calibri" w:hAnsi="Calibri" w:cs="Calibri"/>
                <w:u w:val="single"/>
              </w:rPr>
              <w:t>Disadvantages</w:t>
            </w:r>
            <w:r w:rsidRPr="00241C86">
              <w:rPr>
                <w:rFonts w:ascii="Calibri" w:hAnsi="Calibri" w:cs="Calibri"/>
                <w:u w:val="single"/>
              </w:rPr>
              <w:t>:</w:t>
            </w:r>
          </w:p>
          <w:p w14:paraId="5B9AE233" w14:textId="77777777" w:rsidR="00E42F40" w:rsidRPr="00241C86" w:rsidRDefault="00E42F40" w:rsidP="00E42F40">
            <w:pPr>
              <w:numPr>
                <w:ilvl w:val="0"/>
                <w:numId w:val="44"/>
              </w:numPr>
              <w:ind w:left="341"/>
              <w:rPr>
                <w:rFonts w:ascii="Calibri" w:hAnsi="Calibri" w:cs="Calibri"/>
              </w:rPr>
            </w:pPr>
            <w:r w:rsidRPr="00241C86">
              <w:rPr>
                <w:rFonts w:ascii="Calibri" w:hAnsi="Calibri" w:cs="Calibri"/>
              </w:rPr>
              <w:t>Necessity to build consensus</w:t>
            </w:r>
            <w:r>
              <w:rPr>
                <w:rFonts w:ascii="Calibri" w:hAnsi="Calibri" w:cs="Calibri"/>
              </w:rPr>
              <w:t xml:space="preserve"> – often high-level political support is needed</w:t>
            </w:r>
          </w:p>
        </w:tc>
        <w:tc>
          <w:tcPr>
            <w:tcW w:w="2500" w:type="pct"/>
          </w:tcPr>
          <w:p w14:paraId="5FE49EBC" w14:textId="77777777" w:rsidR="00E42F40" w:rsidRPr="00241C86" w:rsidRDefault="00E42F40">
            <w:pPr>
              <w:jc w:val="both"/>
              <w:rPr>
                <w:rFonts w:ascii="Calibri" w:hAnsi="Calibri" w:cs="Calibri"/>
                <w:u w:val="single"/>
              </w:rPr>
            </w:pPr>
            <w:r>
              <w:rPr>
                <w:rFonts w:ascii="Calibri" w:hAnsi="Calibri" w:cs="Calibri"/>
                <w:u w:val="single"/>
              </w:rPr>
              <w:t>Disadvantages</w:t>
            </w:r>
            <w:r w:rsidRPr="00241C86">
              <w:rPr>
                <w:rFonts w:ascii="Calibri" w:hAnsi="Calibri" w:cs="Calibri"/>
                <w:u w:val="single"/>
              </w:rPr>
              <w:t>:</w:t>
            </w:r>
          </w:p>
          <w:p w14:paraId="60AA74D3" w14:textId="77777777" w:rsidR="00E42F40" w:rsidRPr="00241C86" w:rsidRDefault="00E42F40" w:rsidP="00E42F40">
            <w:pPr>
              <w:numPr>
                <w:ilvl w:val="0"/>
                <w:numId w:val="46"/>
              </w:numPr>
              <w:ind w:left="425"/>
              <w:rPr>
                <w:rFonts w:ascii="Calibri" w:hAnsi="Calibri" w:cs="Calibri"/>
              </w:rPr>
            </w:pPr>
            <w:r w:rsidRPr="00241C86">
              <w:rPr>
                <w:rFonts w:ascii="Calibri" w:hAnsi="Calibri" w:cs="Calibri"/>
              </w:rPr>
              <w:t>Difficult to achieve uniformity</w:t>
            </w:r>
          </w:p>
          <w:p w14:paraId="0650BD64" w14:textId="77777777" w:rsidR="00E42F40" w:rsidRPr="00241C86" w:rsidRDefault="00E42F40" w:rsidP="00E42F40">
            <w:pPr>
              <w:numPr>
                <w:ilvl w:val="0"/>
                <w:numId w:val="46"/>
              </w:numPr>
              <w:ind w:left="425"/>
              <w:rPr>
                <w:rFonts w:ascii="Calibri" w:hAnsi="Calibri" w:cs="Calibri"/>
              </w:rPr>
            </w:pPr>
            <w:r w:rsidRPr="00241C86">
              <w:rPr>
                <w:rFonts w:ascii="Calibri" w:hAnsi="Calibri" w:cs="Calibri"/>
              </w:rPr>
              <w:t>Difficult to limit and monitor licensing proliferation</w:t>
            </w:r>
          </w:p>
          <w:p w14:paraId="627E46AB" w14:textId="77777777" w:rsidR="00E42F40" w:rsidRPr="00241C86" w:rsidRDefault="00E42F40" w:rsidP="00E42F40">
            <w:pPr>
              <w:numPr>
                <w:ilvl w:val="0"/>
                <w:numId w:val="46"/>
              </w:numPr>
              <w:ind w:left="425"/>
              <w:rPr>
                <w:rFonts w:ascii="Calibri" w:hAnsi="Calibri" w:cs="Calibri"/>
              </w:rPr>
            </w:pPr>
            <w:r w:rsidRPr="00241C86">
              <w:rPr>
                <w:rFonts w:ascii="Calibri" w:hAnsi="Calibri" w:cs="Calibri"/>
              </w:rPr>
              <w:t>Low speed of overall reform</w:t>
            </w:r>
          </w:p>
        </w:tc>
      </w:tr>
    </w:tbl>
    <w:p w14:paraId="7BBA4312" w14:textId="5C36D3EE" w:rsidR="00E42F40" w:rsidRPr="00137A6C" w:rsidRDefault="00E42F40" w:rsidP="00E42F40">
      <w:pPr>
        <w:spacing w:before="240"/>
        <w:jc w:val="both"/>
        <w:rPr>
          <w:rFonts w:ascii="Calibri" w:hAnsi="Calibri" w:cs="Calibri"/>
          <w:i/>
          <w:iCs/>
        </w:rPr>
      </w:pPr>
      <w:r w:rsidRPr="00137A6C">
        <w:rPr>
          <w:rFonts w:ascii="Calibri" w:hAnsi="Calibri" w:cs="Calibri"/>
          <w:i/>
          <w:iCs/>
        </w:rPr>
        <w:t xml:space="preserve">Source: </w:t>
      </w:r>
      <w:r>
        <w:rPr>
          <w:rFonts w:ascii="Calibri" w:hAnsi="Calibri" w:cs="Calibri"/>
          <w:i/>
          <w:iCs/>
        </w:rPr>
        <w:t>A</w:t>
      </w:r>
      <w:r w:rsidRPr="00137A6C">
        <w:rPr>
          <w:rFonts w:ascii="Calibri" w:hAnsi="Calibri" w:cs="Calibri"/>
          <w:i/>
          <w:iCs/>
        </w:rPr>
        <w:t>uthors.</w:t>
      </w:r>
    </w:p>
    <w:p w14:paraId="6043CD58" w14:textId="1957FA50" w:rsidR="00FE7AFB" w:rsidRPr="00C51336" w:rsidRDefault="005B5198" w:rsidP="000F4B91">
      <w:pPr>
        <w:pStyle w:val="Body"/>
        <w:rPr>
          <w:rFonts w:ascii="Calibri" w:hAnsi="Calibri" w:cs="Calibri"/>
        </w:rPr>
      </w:pPr>
      <w:r w:rsidRPr="00AA6635">
        <w:rPr>
          <w:rFonts w:ascii="Calibri" w:hAnsi="Calibri" w:cs="Calibri"/>
          <w:b/>
          <w:bCs/>
        </w:rPr>
        <w:t>T</w:t>
      </w:r>
      <w:r w:rsidRPr="00AA6635">
        <w:rPr>
          <w:rFonts w:ascii="Calibri" w:hAnsi="Calibri" w:cs="Calibri"/>
          <w:b/>
        </w:rPr>
        <w:t xml:space="preserve">he </w:t>
      </w:r>
      <w:r w:rsidR="00383421" w:rsidRPr="00AA6635">
        <w:rPr>
          <w:rFonts w:ascii="Calibri" w:hAnsi="Calibri" w:cs="Calibri"/>
          <w:b/>
        </w:rPr>
        <w:t xml:space="preserve">government </w:t>
      </w:r>
      <w:r w:rsidRPr="00AA6635">
        <w:rPr>
          <w:rFonts w:ascii="Calibri" w:hAnsi="Calibri" w:cs="Calibri"/>
          <w:b/>
        </w:rPr>
        <w:t xml:space="preserve">could consider either making amendments to the existing decree on </w:t>
      </w:r>
      <w:r w:rsidR="00383421" w:rsidRPr="00AA6635">
        <w:rPr>
          <w:rFonts w:ascii="Calibri" w:hAnsi="Calibri" w:cs="Calibri"/>
          <w:b/>
        </w:rPr>
        <w:t>the Control of A</w:t>
      </w:r>
      <w:r w:rsidRPr="00AA6635">
        <w:rPr>
          <w:rFonts w:ascii="Calibri" w:hAnsi="Calibri" w:cs="Calibri"/>
          <w:b/>
        </w:rPr>
        <w:t xml:space="preserve">dministrative </w:t>
      </w:r>
      <w:r w:rsidR="00383421" w:rsidRPr="00AA6635">
        <w:rPr>
          <w:rFonts w:ascii="Calibri" w:hAnsi="Calibri" w:cs="Calibri"/>
          <w:b/>
        </w:rPr>
        <w:t>P</w:t>
      </w:r>
      <w:r w:rsidRPr="00AA6635">
        <w:rPr>
          <w:rFonts w:ascii="Calibri" w:hAnsi="Calibri" w:cs="Calibri"/>
          <w:b/>
        </w:rPr>
        <w:t>rocedures</w:t>
      </w:r>
      <w:r w:rsidR="00383421" w:rsidRPr="00AA6635">
        <w:rPr>
          <w:rFonts w:ascii="Calibri" w:hAnsi="Calibri" w:cs="Calibri"/>
          <w:b/>
        </w:rPr>
        <w:t xml:space="preserve"> (Decree No. 63/2010)</w:t>
      </w:r>
      <w:r w:rsidRPr="00AA6635">
        <w:rPr>
          <w:rFonts w:ascii="Calibri" w:hAnsi="Calibri" w:cs="Calibri"/>
          <w:b/>
        </w:rPr>
        <w:t xml:space="preserve"> or enacting a </w:t>
      </w:r>
      <w:r w:rsidR="0022523B" w:rsidRPr="00AA6635">
        <w:rPr>
          <w:rFonts w:ascii="Calibri" w:hAnsi="Calibri" w:cs="Calibri"/>
          <w:b/>
        </w:rPr>
        <w:t>new</w:t>
      </w:r>
      <w:r w:rsidRPr="00AA6635">
        <w:rPr>
          <w:rFonts w:ascii="Calibri" w:hAnsi="Calibri" w:cs="Calibri"/>
          <w:b/>
        </w:rPr>
        <w:t xml:space="preserve"> standalone horizontal framework (e.g., a Law</w:t>
      </w:r>
      <w:r w:rsidR="007026A5" w:rsidRPr="00AA6635">
        <w:rPr>
          <w:rFonts w:ascii="Calibri" w:hAnsi="Calibri" w:cs="Calibri"/>
          <w:b/>
        </w:rPr>
        <w:t xml:space="preserve"> or a Decree</w:t>
      </w:r>
      <w:r w:rsidRPr="00AA6635">
        <w:rPr>
          <w:rFonts w:ascii="Calibri" w:hAnsi="Calibri" w:cs="Calibri"/>
          <w:b/>
        </w:rPr>
        <w:t>) that would be binding to all regulators.</w:t>
      </w:r>
      <w:r w:rsidRPr="00C51336">
        <w:rPr>
          <w:rFonts w:ascii="Calibri" w:hAnsi="Calibri" w:cs="Calibri"/>
        </w:rPr>
        <w:t xml:space="preserve"> The horizontal legal framework should at a minimum set the </w:t>
      </w:r>
      <w:r w:rsidR="00383421" w:rsidRPr="00C51336">
        <w:rPr>
          <w:rFonts w:ascii="Calibri" w:hAnsi="Calibri" w:cs="Calibri"/>
        </w:rPr>
        <w:t>principles and</w:t>
      </w:r>
      <w:r w:rsidRPr="00C51336">
        <w:rPr>
          <w:rFonts w:ascii="Calibri" w:hAnsi="Calibri" w:cs="Calibri"/>
        </w:rPr>
        <w:t xml:space="preserve"> define a typology of instruments based on the risk level of each economic activity, the high-level processes, the funding model for licensing, sanctions, time limits, and grounds for rejection, grounds for revoking a license, and appeals procedures. </w:t>
      </w:r>
      <w:r w:rsidR="00FE7AFB" w:rsidRPr="00C51336">
        <w:rPr>
          <w:rFonts w:ascii="Calibri" w:hAnsi="Calibri" w:cs="Calibri"/>
        </w:rPr>
        <w:t>Given the lack of a common terminology in V</w:t>
      </w:r>
      <w:r w:rsidR="00F254B1" w:rsidRPr="00C51336">
        <w:rPr>
          <w:rFonts w:ascii="Calibri" w:hAnsi="Calibri" w:cs="Calibri"/>
        </w:rPr>
        <w:t>iet Nam, it could</w:t>
      </w:r>
      <w:r w:rsidR="00FE7AFB" w:rsidRPr="00C51336">
        <w:rPr>
          <w:rFonts w:ascii="Calibri" w:hAnsi="Calibri" w:cs="Calibri"/>
        </w:rPr>
        <w:t xml:space="preserve"> streamlin</w:t>
      </w:r>
      <w:r w:rsidR="00F254B1" w:rsidRPr="00C51336">
        <w:rPr>
          <w:rFonts w:ascii="Calibri" w:hAnsi="Calibri" w:cs="Calibri"/>
        </w:rPr>
        <w:t>e</w:t>
      </w:r>
      <w:r w:rsidR="00FE7AFB" w:rsidRPr="00C51336">
        <w:rPr>
          <w:rFonts w:ascii="Calibri" w:hAnsi="Calibri" w:cs="Calibri"/>
        </w:rPr>
        <w:t>, and standard</w:t>
      </w:r>
      <w:r w:rsidR="00476F80" w:rsidRPr="00C51336">
        <w:rPr>
          <w:rFonts w:ascii="Calibri" w:hAnsi="Calibri" w:cs="Calibri"/>
        </w:rPr>
        <w:t>iz</w:t>
      </w:r>
      <w:r w:rsidR="00F254B1" w:rsidRPr="00C51336">
        <w:rPr>
          <w:rFonts w:ascii="Calibri" w:hAnsi="Calibri" w:cs="Calibri"/>
        </w:rPr>
        <w:t>e</w:t>
      </w:r>
      <w:r w:rsidR="00FE7AFB" w:rsidRPr="00C51336">
        <w:rPr>
          <w:rFonts w:ascii="Calibri" w:hAnsi="Calibri" w:cs="Calibri"/>
        </w:rPr>
        <w:t xml:space="preserve"> the terminology and definitions of each instrument.</w:t>
      </w:r>
    </w:p>
    <w:p w14:paraId="61ACDC91" w14:textId="3B831C39" w:rsidR="00924B7F" w:rsidRPr="00C51336" w:rsidRDefault="000A29D5" w:rsidP="000F4B91">
      <w:pPr>
        <w:pStyle w:val="Body"/>
        <w:rPr>
          <w:rFonts w:ascii="Calibri" w:hAnsi="Calibri" w:cs="Calibri"/>
        </w:rPr>
      </w:pPr>
      <w:r>
        <w:rPr>
          <w:rFonts w:ascii="Calibri" w:hAnsi="Calibri" w:cs="Calibri"/>
          <w:b/>
          <w:bCs/>
        </w:rPr>
        <w:t>An</w:t>
      </w:r>
      <w:r w:rsidR="503FE1DA" w:rsidRPr="00AA6635">
        <w:rPr>
          <w:rFonts w:ascii="Calibri" w:hAnsi="Calibri" w:cs="Calibri"/>
          <w:b/>
          <w:bCs/>
        </w:rPr>
        <w:t xml:space="preserve"> umbrella framework could </w:t>
      </w:r>
      <w:r>
        <w:rPr>
          <w:rFonts w:ascii="Calibri" w:hAnsi="Calibri" w:cs="Calibri"/>
          <w:b/>
          <w:bCs/>
        </w:rPr>
        <w:t xml:space="preserve">also </w:t>
      </w:r>
      <w:r w:rsidR="503FE1DA" w:rsidRPr="00AA6635">
        <w:rPr>
          <w:rFonts w:ascii="Calibri" w:hAnsi="Calibri" w:cs="Calibri"/>
          <w:b/>
          <w:bCs/>
        </w:rPr>
        <w:t xml:space="preserve">be used to introduce service standards for regulatory delivery. </w:t>
      </w:r>
      <w:r w:rsidR="503FE1DA" w:rsidRPr="15E5BA73">
        <w:rPr>
          <w:rFonts w:ascii="Calibri" w:hAnsi="Calibri" w:cs="Calibri"/>
        </w:rPr>
        <w:t xml:space="preserve">The horizontal legal framework on licensing could also </w:t>
      </w:r>
      <w:r w:rsidR="289B5E98" w:rsidRPr="15E5BA73">
        <w:rPr>
          <w:rFonts w:ascii="Calibri" w:hAnsi="Calibri" w:cs="Calibri"/>
        </w:rPr>
        <w:t>strengthen the foundation for digital services</w:t>
      </w:r>
      <w:r w:rsidR="503FE1DA" w:rsidRPr="15E5BA73">
        <w:rPr>
          <w:rFonts w:ascii="Calibri" w:hAnsi="Calibri" w:cs="Calibri"/>
        </w:rPr>
        <w:t xml:space="preserve"> </w:t>
      </w:r>
      <w:r w:rsidR="2B0B7568" w:rsidRPr="15E5BA73">
        <w:rPr>
          <w:rFonts w:ascii="Calibri" w:hAnsi="Calibri" w:cs="Calibri"/>
        </w:rPr>
        <w:t xml:space="preserve">by making </w:t>
      </w:r>
      <w:r w:rsidR="503FE1DA" w:rsidRPr="15E5BA73">
        <w:rPr>
          <w:rFonts w:ascii="Calibri" w:hAnsi="Calibri" w:cs="Calibri"/>
        </w:rPr>
        <w:t xml:space="preserve">the National Database of Administrative Procedures and the National Public Service Portal the single source of legal validity. </w:t>
      </w:r>
      <w:r w:rsidR="00B83606">
        <w:rPr>
          <w:rFonts w:ascii="Calibri" w:hAnsi="Calibri" w:cs="Calibri"/>
        </w:rPr>
        <w:t>I</w:t>
      </w:r>
      <w:r w:rsidR="00924B7F" w:rsidRPr="00C51336">
        <w:rPr>
          <w:rFonts w:ascii="Calibri" w:hAnsi="Calibri" w:cs="Calibri"/>
        </w:rPr>
        <w:t>t could also require defining which data types would be made publicly available, and which data types would be protected and therefore only accessible by government authorities (e.g., “official use only”), and which data would be confidential. The minimum data requirements that should be collected and maintained in the context of a business licensing process could be defined in the horizontal legal framework to ensure a consistent approach across all regulatory domains. For example, these could include the name of licensee (e.g., business name), the licensee’s registration number, the licensee’s legal address, the address of the establishment operated by the licensee, the status of the license (e.g., active suspended, revoked, renewed), the date when the license was issued, the date of validity of the license (if the license has limited duration), any conditions issued by the licensor as par to the license (e.g., to monitor and report emissions), the list of sanctions imposed on the licensee with relevant dates and conditions, the dates of all conducted Inspections to check compliance with the license, with information about the types of inspections (planned, follow-up, unplanned).</w:t>
      </w:r>
    </w:p>
    <w:p w14:paraId="5B6AE30E" w14:textId="14B72E2B" w:rsidR="00EB7F65" w:rsidRPr="00C51336" w:rsidRDefault="00EB7F65" w:rsidP="00CF13CA">
      <w:pPr>
        <w:pStyle w:val="Heading3"/>
        <w:spacing w:before="100" w:beforeAutospacing="1" w:after="100" w:afterAutospacing="1"/>
      </w:pPr>
      <w:r w:rsidRPr="00C51336">
        <w:lastRenderedPageBreak/>
        <w:t>Ensure the legal framework on Online Administrative Procedures and other laws and regulations on Administrative Procedures promote a digital-first and data-driven approach.</w:t>
      </w:r>
    </w:p>
    <w:p w14:paraId="6A5F0F19" w14:textId="5272D999" w:rsidR="00E26B59" w:rsidRPr="00C51336" w:rsidRDefault="004101B2" w:rsidP="0064533A">
      <w:pPr>
        <w:spacing w:before="240"/>
        <w:jc w:val="both"/>
        <w:rPr>
          <w:rFonts w:ascii="Calibri" w:eastAsia="Calibri" w:hAnsi="Calibri" w:cs="Calibri"/>
        </w:rPr>
      </w:pPr>
      <w:r w:rsidRPr="00AA6635">
        <w:rPr>
          <w:rFonts w:ascii="Calibri" w:eastAsia="Calibri" w:hAnsi="Calibri" w:cs="Calibri"/>
          <w:b/>
        </w:rPr>
        <w:t>T</w:t>
      </w:r>
      <w:r w:rsidR="00E26B59" w:rsidRPr="00AA6635">
        <w:rPr>
          <w:rFonts w:ascii="Calibri" w:eastAsia="Calibri" w:hAnsi="Calibri" w:cs="Calibri"/>
          <w:b/>
        </w:rPr>
        <w:t>he legal framework</w:t>
      </w:r>
      <w:r w:rsidRPr="00AA6635">
        <w:rPr>
          <w:rFonts w:ascii="Calibri" w:eastAsia="Calibri" w:hAnsi="Calibri" w:cs="Calibri"/>
          <w:b/>
        </w:rPr>
        <w:t>, including the Decree on Online Administrative Procedures and the Electronic Transactions Law,</w:t>
      </w:r>
      <w:r w:rsidR="00E26B59" w:rsidRPr="00AA6635">
        <w:rPr>
          <w:rFonts w:ascii="Calibri" w:eastAsia="Calibri" w:hAnsi="Calibri" w:cs="Calibri"/>
          <w:b/>
        </w:rPr>
        <w:t xml:space="preserve"> should promote a digital-first approach</w:t>
      </w:r>
      <w:r w:rsidR="00EE6AC0">
        <w:rPr>
          <w:rFonts w:ascii="Calibri" w:eastAsia="Calibri" w:hAnsi="Calibri" w:cs="Calibri"/>
          <w:b/>
        </w:rPr>
        <w:t xml:space="preserve">. </w:t>
      </w:r>
      <w:r w:rsidR="00EE6AC0" w:rsidRPr="00AA6635">
        <w:rPr>
          <w:rFonts w:ascii="Calibri" w:eastAsia="Calibri" w:hAnsi="Calibri" w:cs="Calibri"/>
          <w:bCs/>
        </w:rPr>
        <w:t>This could be achieved</w:t>
      </w:r>
      <w:r w:rsidR="00E26B59" w:rsidRPr="00C51336">
        <w:rPr>
          <w:rFonts w:ascii="Calibri" w:eastAsia="Calibri" w:hAnsi="Calibri" w:cs="Calibri"/>
        </w:rPr>
        <w:t xml:space="preserve"> by eliminating any provisions that explicitly or implicitly treat paper documents as having higher legal validity than online documents and data, </w:t>
      </w:r>
      <w:r w:rsidR="00EE6AC0">
        <w:rPr>
          <w:rFonts w:ascii="Calibri" w:eastAsia="Calibri" w:hAnsi="Calibri" w:cs="Calibri"/>
        </w:rPr>
        <w:t>and</w:t>
      </w:r>
      <w:r w:rsidR="00E26B59" w:rsidRPr="00C51336">
        <w:rPr>
          <w:rFonts w:ascii="Calibri" w:eastAsia="Calibri" w:hAnsi="Calibri" w:cs="Calibri"/>
        </w:rPr>
        <w:t xml:space="preserve"> by clarifying that online documents and data are treated as the original version. Similarly, </w:t>
      </w:r>
      <w:r w:rsidR="00A90D75" w:rsidRPr="00C51336">
        <w:rPr>
          <w:rFonts w:ascii="Calibri" w:eastAsia="Calibri" w:hAnsi="Calibri" w:cs="Calibri"/>
        </w:rPr>
        <w:t>the government could also</w:t>
      </w:r>
      <w:r w:rsidR="00E26B59" w:rsidRPr="00C51336">
        <w:rPr>
          <w:rFonts w:ascii="Calibri" w:eastAsia="Calibri" w:hAnsi="Calibri" w:cs="Calibri"/>
        </w:rPr>
        <w:t xml:space="preserve"> consider reviewing the relevant legal framework at the sectoral level to ensure that it adheres to a digital-first approach. </w:t>
      </w:r>
    </w:p>
    <w:p w14:paraId="7C98834C" w14:textId="694F69BA" w:rsidR="00B40EB2" w:rsidRPr="00C51336" w:rsidRDefault="652A478B" w:rsidP="15E5BA73">
      <w:pPr>
        <w:pStyle w:val="Heading3"/>
        <w:spacing w:before="100" w:beforeAutospacing="1" w:after="100" w:afterAutospacing="1"/>
      </w:pPr>
      <w:bookmarkStart w:id="32" w:name="_Ref163476726"/>
      <w:r>
        <w:t xml:space="preserve">Consider designating the </w:t>
      </w:r>
      <w:r w:rsidR="455EA9D0">
        <w:t>NDAP</w:t>
      </w:r>
      <w:r>
        <w:t xml:space="preserve"> as the single source of legal validity.</w:t>
      </w:r>
      <w:bookmarkEnd w:id="32"/>
    </w:p>
    <w:p w14:paraId="3C24243E" w14:textId="3F26747F" w:rsidR="00B40EB2" w:rsidRPr="00C51336" w:rsidRDefault="156455C2">
      <w:pPr>
        <w:pStyle w:val="Body"/>
      </w:pPr>
      <w:r w:rsidRPr="15E5BA73">
        <w:rPr>
          <w:b/>
          <w:bCs/>
        </w:rPr>
        <w:t>I</w:t>
      </w:r>
      <w:r w:rsidR="652A478B" w:rsidRPr="00AA6635">
        <w:rPr>
          <w:b/>
          <w:bCs/>
        </w:rPr>
        <w:t>nformation on the administrative procedures</w:t>
      </w:r>
      <w:r w:rsidR="635FA03B" w:rsidRPr="15E5BA73">
        <w:rPr>
          <w:b/>
          <w:bCs/>
        </w:rPr>
        <w:t xml:space="preserve"> on </w:t>
      </w:r>
      <w:r w:rsidR="5A4FDDAF" w:rsidRPr="15E5BA73">
        <w:rPr>
          <w:b/>
          <w:bCs/>
        </w:rPr>
        <w:t>NDAP</w:t>
      </w:r>
      <w:r w:rsidR="635FA03B" w:rsidRPr="15E5BA73">
        <w:rPr>
          <w:b/>
          <w:bCs/>
        </w:rPr>
        <w:t xml:space="preserve"> </w:t>
      </w:r>
      <w:r w:rsidR="7F371E7F" w:rsidRPr="15E5BA73">
        <w:rPr>
          <w:b/>
          <w:bCs/>
        </w:rPr>
        <w:t>should be</w:t>
      </w:r>
      <w:r w:rsidR="652A478B" w:rsidRPr="00AA6635">
        <w:rPr>
          <w:b/>
          <w:bCs/>
        </w:rPr>
        <w:t xml:space="preserve"> always current and complete.</w:t>
      </w:r>
      <w:r w:rsidR="652A478B">
        <w:t xml:space="preserve"> This is a common challenge when it comes to the sustainability of digital solutions that provide information and navigational services by centralizing data on the requirements and procedures of the various </w:t>
      </w:r>
      <w:r w:rsidR="00DD79BC">
        <w:t>m</w:t>
      </w:r>
      <w:r w:rsidR="652A478B">
        <w:t>inistries. One option the government could consider is to provide a stronger legal basis for the NPSP. Specifically, this would entail mandating that in the case of a conflict between the sectoral legal framework and the information on administrative procedures included in the NPSP, the latter would prevail in terms of legal validity. Recommendation #7 provides options on how to improve NPSP’s sustainability through technology solutions.</w:t>
      </w:r>
    </w:p>
    <w:p w14:paraId="51A592D1" w14:textId="75AB9E77" w:rsidR="00747569" w:rsidRDefault="00747569">
      <w:pPr>
        <w:pStyle w:val="Body"/>
        <w:rPr>
          <w:b/>
          <w:bCs/>
        </w:rPr>
      </w:pPr>
      <w:r w:rsidRPr="00D64CD6">
        <w:rPr>
          <w:b/>
          <w:bCs/>
        </w:rPr>
        <w:t xml:space="preserve">Mexico provides an example of a country </w:t>
      </w:r>
      <w:r w:rsidR="00A74E41" w:rsidRPr="00D64CD6">
        <w:rPr>
          <w:b/>
          <w:bCs/>
        </w:rPr>
        <w:t xml:space="preserve">where the </w:t>
      </w:r>
      <w:r w:rsidR="00A74E41">
        <w:rPr>
          <w:b/>
          <w:bCs/>
        </w:rPr>
        <w:t>r</w:t>
      </w:r>
      <w:r w:rsidR="00A74E41" w:rsidRPr="00D64CD6">
        <w:rPr>
          <w:b/>
          <w:bCs/>
        </w:rPr>
        <w:t xml:space="preserve">egistry of </w:t>
      </w:r>
      <w:r w:rsidR="00A74E41">
        <w:rPr>
          <w:b/>
          <w:bCs/>
        </w:rPr>
        <w:t>p</w:t>
      </w:r>
      <w:r w:rsidR="00A74E41" w:rsidRPr="00D64CD6">
        <w:rPr>
          <w:b/>
          <w:bCs/>
        </w:rPr>
        <w:t xml:space="preserve">rocedures </w:t>
      </w:r>
      <w:r w:rsidR="00A74E41">
        <w:rPr>
          <w:b/>
          <w:bCs/>
        </w:rPr>
        <w:t>is the source of legal validity</w:t>
      </w:r>
      <w:r w:rsidR="00A74E41" w:rsidRPr="00D64CD6">
        <w:rPr>
          <w:b/>
          <w:bCs/>
        </w:rPr>
        <w:t>.</w:t>
      </w:r>
      <w:r w:rsidR="00A74E41">
        <w:t xml:space="preserve"> Mexico’s </w:t>
      </w:r>
      <w:r>
        <w:t>Law of Administrative Procedure</w:t>
      </w:r>
      <w:r w:rsidR="00A74E41">
        <w:t xml:space="preserve"> established the Registry of Procedures and Services, </w:t>
      </w:r>
      <w:r>
        <w:t xml:space="preserve">requiring government agencies to provide detailed information about each procedure under their </w:t>
      </w:r>
      <w:r w:rsidR="009E170F">
        <w:t>authority</w:t>
      </w:r>
      <w:r w:rsidR="00A74E41">
        <w:t xml:space="preserve">. The Law </w:t>
      </w:r>
      <w:r w:rsidR="007C3A60">
        <w:t>includes</w:t>
      </w:r>
      <w:r>
        <w:t xml:space="preserve"> provisions stating that government agencies are not allowed to i) request procedures not included in the Registry, and ii) administrate the procedure in a way that differs from the Registry. This creates incentives for government agencies to keep the Registry updated for the procedures under their </w:t>
      </w:r>
      <w:r w:rsidR="00380B4F">
        <w:t>authority</w:t>
      </w:r>
      <w:r>
        <w:t>.</w:t>
      </w:r>
    </w:p>
    <w:p w14:paraId="518F32E5" w14:textId="55985FF1" w:rsidR="00B40EB2" w:rsidRPr="00C51336" w:rsidRDefault="6D104CC9">
      <w:pPr>
        <w:pStyle w:val="Body"/>
      </w:pPr>
      <w:r w:rsidRPr="7037353D">
        <w:rPr>
          <w:b/>
          <w:bCs/>
        </w:rPr>
        <w:t>Developing a stronger legal basis for NPSP</w:t>
      </w:r>
      <w:r w:rsidR="00B40EB2" w:rsidRPr="00AA6635">
        <w:rPr>
          <w:b/>
          <w:bCs/>
        </w:rPr>
        <w:t xml:space="preserve"> require</w:t>
      </w:r>
      <w:r w:rsidR="7FBFDDD3" w:rsidRPr="7037353D">
        <w:rPr>
          <w:b/>
          <w:bCs/>
        </w:rPr>
        <w:t>s</w:t>
      </w:r>
      <w:r w:rsidR="00B40EB2" w:rsidRPr="00AA6635">
        <w:rPr>
          <w:b/>
          <w:bCs/>
        </w:rPr>
        <w:t xml:space="preserve"> consulting with administrative lawyers to explore how such a policy could best be implemented in Viet Nam’s legal framework</w:t>
      </w:r>
      <w:r w:rsidR="00B40EB2">
        <w:t xml:space="preserve">. Moreover, such a legal measure would need to be supported by other measures, such as an information campaign to raise awareness in the private sector about the fact that the information in the NPSP is the “single source of truth” and sufficient time before effectiveness to allow for upgrading the </w:t>
      </w:r>
      <w:r w:rsidR="00DD79BC">
        <w:t>NDAP</w:t>
      </w:r>
      <w:r w:rsidR="00B40EB2">
        <w:t xml:space="preserve">. It would also require providing guidance to all staff on the frontlines of regulatory delivery, such as the officers working in the licensing departments in the various OSS locations at the subnational level. This guidance should include instructions on how to handle different scenarios, such as cases where information about an AP is missing entirely from the NPSP, where information is incomplete, where information is outdated and conflicting with a recently issued law or regulation, etc. </w:t>
      </w:r>
    </w:p>
    <w:p w14:paraId="23294803" w14:textId="31A25073" w:rsidR="00634EBC" w:rsidRPr="00C51336" w:rsidRDefault="00634EBC" w:rsidP="00CF13CA">
      <w:pPr>
        <w:pStyle w:val="Heading3"/>
        <w:spacing w:before="100" w:beforeAutospacing="1" w:after="100" w:afterAutospacing="1"/>
      </w:pPr>
      <w:r>
        <w:lastRenderedPageBreak/>
        <w:t xml:space="preserve">Improve </w:t>
      </w:r>
      <w:r w:rsidR="00880168">
        <w:t xml:space="preserve">the accuracy and currency of the information on the regulations and procedures </w:t>
      </w:r>
      <w:r>
        <w:t xml:space="preserve">of the </w:t>
      </w:r>
      <w:r w:rsidR="001A0F6B">
        <w:t>NDAP</w:t>
      </w:r>
      <w:r w:rsidR="00833CD2">
        <w:t>.</w:t>
      </w:r>
      <w:r>
        <w:t xml:space="preserve"> </w:t>
      </w:r>
    </w:p>
    <w:p w14:paraId="34D62C08" w14:textId="3BAF535C" w:rsidR="00634EBC" w:rsidRPr="00C51336" w:rsidRDefault="1DB7359E" w:rsidP="7037353D">
      <w:pPr>
        <w:jc w:val="both"/>
        <w:rPr>
          <w:rFonts w:ascii="Calibri" w:eastAsia="Calibri" w:hAnsi="Calibri" w:cs="Calibri"/>
        </w:rPr>
      </w:pPr>
      <w:r w:rsidRPr="7037353D">
        <w:rPr>
          <w:rFonts w:ascii="Calibri" w:eastAsia="Calibri" w:hAnsi="Calibri" w:cs="Calibri"/>
          <w:b/>
          <w:bCs/>
        </w:rPr>
        <w:t>Ensuring the accuracy and currency of the</w:t>
      </w:r>
      <w:r w:rsidR="00634EBC" w:rsidRPr="00AA6635">
        <w:rPr>
          <w:rFonts w:ascii="Calibri" w:eastAsia="Calibri" w:hAnsi="Calibri" w:cs="Calibri"/>
          <w:b/>
          <w:bCs/>
        </w:rPr>
        <w:t xml:space="preserve"> </w:t>
      </w:r>
      <w:r w:rsidR="00DE0E6D">
        <w:rPr>
          <w:rFonts w:ascii="Calibri" w:eastAsia="Calibri" w:hAnsi="Calibri" w:cs="Calibri"/>
          <w:b/>
          <w:bCs/>
        </w:rPr>
        <w:t>NDAP</w:t>
      </w:r>
      <w:r w:rsidR="216A0A18" w:rsidRPr="7037353D">
        <w:rPr>
          <w:rFonts w:ascii="Calibri" w:eastAsia="Calibri" w:hAnsi="Calibri" w:cs="Calibri"/>
          <w:b/>
          <w:bCs/>
        </w:rPr>
        <w:t xml:space="preserve"> would be beneficial for firms. </w:t>
      </w:r>
      <w:r w:rsidR="00586A58" w:rsidRPr="7037353D">
        <w:rPr>
          <w:rFonts w:ascii="Calibri" w:eastAsia="Calibri" w:hAnsi="Calibri" w:cs="Calibri"/>
        </w:rPr>
        <w:t>It</w:t>
      </w:r>
      <w:r w:rsidR="330EC32B" w:rsidRPr="7037353D">
        <w:rPr>
          <w:rFonts w:ascii="Calibri" w:eastAsia="Calibri" w:hAnsi="Calibri" w:cs="Calibri"/>
        </w:rPr>
        <w:t xml:space="preserve"> w</w:t>
      </w:r>
      <w:r w:rsidR="00634EBC" w:rsidRPr="7037353D">
        <w:rPr>
          <w:rFonts w:ascii="Calibri" w:eastAsia="Calibri" w:hAnsi="Calibri" w:cs="Calibri"/>
        </w:rPr>
        <w:t xml:space="preserve">ould provide a single source for businesses to view </w:t>
      </w:r>
      <w:r w:rsidR="00E22DCE" w:rsidRPr="7037353D">
        <w:rPr>
          <w:rFonts w:ascii="Calibri" w:eastAsia="Calibri" w:hAnsi="Calibri" w:cs="Calibri"/>
        </w:rPr>
        <w:t>administrative procedures</w:t>
      </w:r>
      <w:r w:rsidR="00634EBC" w:rsidRPr="7037353D">
        <w:rPr>
          <w:rFonts w:ascii="Calibri" w:eastAsia="Calibri" w:hAnsi="Calibri" w:cs="Calibri"/>
        </w:rPr>
        <w:t xml:space="preserve"> in a business-friendly manner. The key challenge, however, </w:t>
      </w:r>
      <w:r w:rsidR="00E22DCE" w:rsidRPr="7037353D">
        <w:rPr>
          <w:rFonts w:ascii="Calibri" w:eastAsia="Calibri" w:hAnsi="Calibri" w:cs="Calibri"/>
        </w:rPr>
        <w:t>is</w:t>
      </w:r>
      <w:r w:rsidR="00634EBC" w:rsidRPr="7037353D">
        <w:rPr>
          <w:rFonts w:ascii="Calibri" w:eastAsia="Calibri" w:hAnsi="Calibri" w:cs="Calibri"/>
        </w:rPr>
        <w:t xml:space="preserve"> keeping the database up-to-date following regulatory changes, and presenting the information in plain language and a well-designed consumable format. Addressing these challenges will improve the long-term sustainability of the database and build further trust in the business community regarding the currency and completeness of the information available.</w:t>
      </w:r>
      <w:r w:rsidR="00710A02" w:rsidRPr="7037353D">
        <w:rPr>
          <w:rFonts w:ascii="Calibri" w:eastAsia="Calibri" w:hAnsi="Calibri" w:cs="Calibri"/>
        </w:rPr>
        <w:t xml:space="preserve"> </w:t>
      </w:r>
      <w:r w:rsidR="000816A9" w:rsidRPr="7037353D">
        <w:rPr>
          <w:rFonts w:ascii="Calibri" w:eastAsia="Calibri" w:hAnsi="Calibri" w:cs="Calibri"/>
        </w:rPr>
        <w:t xml:space="preserve">To address these challenges, there are three </w:t>
      </w:r>
      <w:r w:rsidR="00987C99" w:rsidRPr="7037353D">
        <w:rPr>
          <w:rFonts w:ascii="Calibri" w:eastAsia="Calibri" w:hAnsi="Calibri" w:cs="Calibri"/>
        </w:rPr>
        <w:t>recommendations that APCA/OOG could consider:</w:t>
      </w:r>
    </w:p>
    <w:p w14:paraId="176403CE" w14:textId="5E100572" w:rsidR="00634EBC" w:rsidRPr="00C51336" w:rsidRDefault="00634EBC" w:rsidP="00CF13CA">
      <w:pPr>
        <w:pStyle w:val="Heading4"/>
        <w:spacing w:before="100" w:beforeAutospacing="1" w:after="100" w:afterAutospacing="1"/>
      </w:pPr>
      <w:bookmarkStart w:id="33" w:name="_Ref162337965"/>
      <w:r>
        <w:t>Implement a notification-based mechanism to monitor for updates to administrative procedures</w:t>
      </w:r>
      <w:bookmarkEnd w:id="33"/>
      <w:r w:rsidR="00833CD2">
        <w:t>.</w:t>
      </w:r>
    </w:p>
    <w:p w14:paraId="14309D49" w14:textId="2BCA233C" w:rsidR="00634EBC" w:rsidRPr="00C51336" w:rsidRDefault="4A30BBE7" w:rsidP="7037353D">
      <w:pPr>
        <w:jc w:val="both"/>
        <w:rPr>
          <w:rFonts w:ascii="Calibri" w:eastAsia="Calibri" w:hAnsi="Calibri" w:cs="Calibri"/>
        </w:rPr>
      </w:pPr>
      <w:r w:rsidRPr="7037353D">
        <w:rPr>
          <w:rFonts w:ascii="Calibri" w:eastAsia="Calibri" w:hAnsi="Calibri" w:cs="Calibri"/>
          <w:b/>
          <w:bCs/>
        </w:rPr>
        <w:t xml:space="preserve">Updates of administrative procedures should be notified automatically with the application of advanced IT tools. </w:t>
      </w:r>
      <w:r w:rsidR="00C51336" w:rsidRPr="110D198D">
        <w:rPr>
          <w:rFonts w:ascii="Calibri" w:eastAsia="Calibri" w:hAnsi="Calibri" w:cs="Calibri"/>
        </w:rPr>
        <w:t xml:space="preserve">In the medium term, AI could enable near real-time updates to the </w:t>
      </w:r>
      <w:r w:rsidR="069C6D40">
        <w:rPr>
          <w:rFonts w:ascii="Calibri" w:eastAsia="Calibri" w:hAnsi="Calibri" w:cs="Calibri"/>
        </w:rPr>
        <w:t>database, following</w:t>
      </w:r>
      <w:r w:rsidR="00C51336" w:rsidRPr="110D198D">
        <w:rPr>
          <w:rFonts w:ascii="Calibri" w:eastAsia="Calibri" w:hAnsi="Calibri" w:cs="Calibri"/>
        </w:rPr>
        <w:t xml:space="preserve"> the publication of new or updated legal texts. However, there are some pre-conditions in terms of data standardization and interoperability that will take time to implement.</w:t>
      </w:r>
      <w:bookmarkStart w:id="34" w:name="_Ref162342837"/>
      <w:r w:rsidR="00634EBC" w:rsidRPr="110D198D">
        <w:rPr>
          <w:rFonts w:ascii="Calibri" w:eastAsia="Calibri" w:hAnsi="Calibri" w:cs="Calibri"/>
          <w:vertAlign w:val="superscript"/>
        </w:rPr>
        <w:footnoteReference w:id="110"/>
      </w:r>
      <w:bookmarkEnd w:id="34"/>
      <w:r w:rsidR="00634EBC" w:rsidRPr="110D198D">
        <w:rPr>
          <w:rFonts w:ascii="Calibri" w:eastAsia="Calibri" w:hAnsi="Calibri" w:cs="Calibri"/>
        </w:rPr>
        <w:t xml:space="preserve"> </w:t>
      </w:r>
      <w:r w:rsidR="00634EBC" w:rsidRPr="4E68FC03">
        <w:rPr>
          <w:rFonts w:ascii="Calibri" w:eastAsia="Calibri" w:hAnsi="Calibri" w:cs="Calibri"/>
        </w:rPr>
        <w:t xml:space="preserve">As an interim step, and while foundational components of a full solution are implemented, Viet Nam could consider implementing a notification-based mechanism to monitor for updates to administrative procedure legislation, </w:t>
      </w:r>
      <w:r w:rsidR="001D4351" w:rsidRPr="4E68FC03">
        <w:rPr>
          <w:rFonts w:ascii="Calibri" w:eastAsia="Calibri" w:hAnsi="Calibri" w:cs="Calibri"/>
        </w:rPr>
        <w:t>decrees</w:t>
      </w:r>
      <w:r w:rsidR="001D4351">
        <w:rPr>
          <w:rFonts w:ascii="Calibri" w:eastAsia="Calibri" w:hAnsi="Calibri" w:cs="Calibri"/>
        </w:rPr>
        <w:t>,</w:t>
      </w:r>
      <w:r w:rsidR="001D4351" w:rsidRPr="4E68FC03">
        <w:rPr>
          <w:rFonts w:ascii="Calibri" w:eastAsia="Calibri" w:hAnsi="Calibri" w:cs="Calibri"/>
        </w:rPr>
        <w:t xml:space="preserve"> or </w:t>
      </w:r>
      <w:r w:rsidR="00634EBC" w:rsidRPr="4E68FC03">
        <w:rPr>
          <w:rFonts w:ascii="Calibri" w:eastAsia="Calibri" w:hAnsi="Calibri" w:cs="Calibri"/>
        </w:rPr>
        <w:t xml:space="preserve">decisions,  and send reminder notifications to the implementing agency to update the information in </w:t>
      </w:r>
      <w:r w:rsidR="00DE0E6D">
        <w:rPr>
          <w:rFonts w:ascii="Calibri" w:eastAsia="Calibri" w:hAnsi="Calibri" w:cs="Calibri"/>
        </w:rPr>
        <w:t>ND</w:t>
      </w:r>
      <w:r w:rsidR="001F73C3">
        <w:rPr>
          <w:rFonts w:ascii="Calibri" w:eastAsia="Calibri" w:hAnsi="Calibri" w:cs="Calibri"/>
        </w:rPr>
        <w:t>AP</w:t>
      </w:r>
      <w:r w:rsidR="008A2A59" w:rsidRPr="4E68FC03">
        <w:rPr>
          <w:rFonts w:ascii="Calibri" w:eastAsia="Calibri" w:hAnsi="Calibri" w:cs="Calibri"/>
        </w:rPr>
        <w:t>,</w:t>
      </w:r>
      <w:r w:rsidR="0080314B" w:rsidRPr="4E68FC03">
        <w:rPr>
          <w:rFonts w:ascii="Calibri" w:eastAsia="Calibri" w:hAnsi="Calibri" w:cs="Calibri"/>
        </w:rPr>
        <w:t xml:space="preserve"> and </w:t>
      </w:r>
      <w:r w:rsidR="00320264" w:rsidRPr="4E68FC03">
        <w:rPr>
          <w:rFonts w:ascii="Calibri" w:eastAsia="Calibri" w:hAnsi="Calibri" w:cs="Calibri"/>
        </w:rPr>
        <w:t>notify APCA/OOG when the task is complete to review content before updating in the N</w:t>
      </w:r>
      <w:r w:rsidR="001F73C3">
        <w:rPr>
          <w:rFonts w:ascii="Calibri" w:eastAsia="Calibri" w:hAnsi="Calibri" w:cs="Calibri"/>
        </w:rPr>
        <w:t>DA</w:t>
      </w:r>
      <w:r w:rsidR="00320264" w:rsidRPr="4E68FC03">
        <w:rPr>
          <w:rFonts w:ascii="Calibri" w:eastAsia="Calibri" w:hAnsi="Calibri" w:cs="Calibri"/>
        </w:rPr>
        <w:t>P</w:t>
      </w:r>
      <w:r w:rsidR="00634EBC" w:rsidRPr="4E68FC03">
        <w:rPr>
          <w:rFonts w:ascii="Calibri" w:eastAsia="Calibri" w:hAnsi="Calibri" w:cs="Calibri"/>
        </w:rPr>
        <w:t>.</w:t>
      </w:r>
      <w:r w:rsidR="00103BF2" w:rsidRPr="4E68FC03">
        <w:rPr>
          <w:rStyle w:val="FootnoteReference"/>
          <w:rFonts w:ascii="Calibri" w:eastAsia="Calibri" w:hAnsi="Calibri" w:cs="Calibri"/>
        </w:rPr>
        <w:footnoteReference w:id="111"/>
      </w:r>
      <w:r w:rsidR="002C5E73" w:rsidRPr="4E68FC03">
        <w:rPr>
          <w:rFonts w:ascii="Calibri" w:eastAsia="Calibri" w:hAnsi="Calibri" w:cs="Calibri"/>
        </w:rPr>
        <w:t xml:space="preserve"> </w:t>
      </w:r>
    </w:p>
    <w:p w14:paraId="280EA342" w14:textId="27ADCBF2" w:rsidR="00634EBC" w:rsidRPr="00103BF2" w:rsidRDefault="00634EBC" w:rsidP="00CF13CA">
      <w:pPr>
        <w:pStyle w:val="Heading4"/>
        <w:tabs>
          <w:tab w:val="left" w:pos="1440"/>
        </w:tabs>
        <w:spacing w:before="100" w:beforeAutospacing="1" w:after="100" w:afterAutospacing="1"/>
        <w:ind w:hanging="990"/>
      </w:pPr>
      <w:bookmarkStart w:id="35" w:name="_Ref162344721"/>
      <w:bookmarkStart w:id="36" w:name="_Ref163457613"/>
      <w:bookmarkStart w:id="37" w:name="_Ref162337971"/>
      <w:r>
        <w:t xml:space="preserve">Upgrade the data of administrative procedures to </w:t>
      </w:r>
      <w:r w:rsidR="00BC2A6A">
        <w:t>a structured format</w:t>
      </w:r>
      <w:r w:rsidR="00833CD2">
        <w:t>.</w:t>
      </w:r>
      <w:r w:rsidR="00BC2A6A">
        <w:t xml:space="preserve"> </w:t>
      </w:r>
      <w:bookmarkEnd w:id="35"/>
      <w:bookmarkEnd w:id="36"/>
    </w:p>
    <w:p w14:paraId="5499D51F" w14:textId="3C259250" w:rsidR="00634EBC" w:rsidRPr="00C51336" w:rsidRDefault="13543090" w:rsidP="7037353D">
      <w:pPr>
        <w:jc w:val="both"/>
        <w:rPr>
          <w:rFonts w:ascii="Calibri" w:eastAsia="Calibri" w:hAnsi="Calibri" w:cs="Calibri"/>
        </w:rPr>
      </w:pPr>
      <w:r w:rsidRPr="00AA6635">
        <w:rPr>
          <w:b/>
          <w:bCs/>
        </w:rPr>
        <w:t xml:space="preserve">Application of </w:t>
      </w:r>
      <w:r w:rsidR="007542C4">
        <w:rPr>
          <w:b/>
          <w:bCs/>
        </w:rPr>
        <w:t xml:space="preserve">a </w:t>
      </w:r>
      <w:r w:rsidRPr="00AA6635">
        <w:rPr>
          <w:b/>
          <w:bCs/>
        </w:rPr>
        <w:t xml:space="preserve">better structured format to the </w:t>
      </w:r>
      <w:r w:rsidR="001A0F6B">
        <w:rPr>
          <w:b/>
          <w:bCs/>
        </w:rPr>
        <w:t>NDAP</w:t>
      </w:r>
      <w:r w:rsidRPr="00AA6635">
        <w:rPr>
          <w:b/>
          <w:bCs/>
        </w:rPr>
        <w:t xml:space="preserve"> can help improve </w:t>
      </w:r>
      <w:r w:rsidR="72A6A328" w:rsidRPr="00AA6635">
        <w:rPr>
          <w:b/>
          <w:bCs/>
        </w:rPr>
        <w:t>data-driven management and service provision</w:t>
      </w:r>
      <w:r w:rsidR="72A6A328">
        <w:t xml:space="preserve">. </w:t>
      </w:r>
      <w:r w:rsidR="00C0352F">
        <w:t>Having</w:t>
      </w:r>
      <w:r w:rsidR="005E306B">
        <w:t xml:space="preserve"> legal texts i</w:t>
      </w:r>
      <w:r w:rsidR="00C0352F">
        <w:t xml:space="preserve">n a </w:t>
      </w:r>
      <w:r w:rsidR="00C0352F" w:rsidRPr="110D198D">
        <w:rPr>
          <w:rFonts w:ascii="Calibri" w:eastAsia="Calibri" w:hAnsi="Calibri" w:cs="Calibri"/>
        </w:rPr>
        <w:t xml:space="preserve">structured and standardized data format, such as </w:t>
      </w:r>
      <w:r w:rsidR="00C0352F" w:rsidRPr="7037353D">
        <w:rPr>
          <w:rFonts w:ascii="Calibri" w:eastAsia="Calibri" w:hAnsi="Calibri" w:cs="Calibri"/>
          <w:i/>
          <w:iCs/>
        </w:rPr>
        <w:t>LegalDocML</w:t>
      </w:r>
      <w:r w:rsidR="007542C4">
        <w:rPr>
          <w:rFonts w:ascii="Calibri" w:eastAsia="Calibri" w:hAnsi="Calibri" w:cs="Calibri"/>
          <w:i/>
          <w:iCs/>
        </w:rPr>
        <w:t>,</w:t>
      </w:r>
      <w:r w:rsidR="00BC2A6A" w:rsidRPr="00226C15">
        <w:rPr>
          <w:vertAlign w:val="superscript"/>
        </w:rPr>
        <w:footnoteReference w:id="112"/>
      </w:r>
      <w:r w:rsidR="000632FF">
        <w:t xml:space="preserve"> which is machine-readable and uses XML</w:t>
      </w:r>
      <w:r w:rsidR="00C35E45">
        <w:t xml:space="preserve">, would provide the basis for advanced automation options for the </w:t>
      </w:r>
      <w:r w:rsidR="007542C4">
        <w:t>NDAP</w:t>
      </w:r>
      <w:r w:rsidR="00BC2A6A" w:rsidRPr="00103BF2">
        <w:t>.</w:t>
      </w:r>
      <w:r w:rsidR="00C35E45">
        <w:t xml:space="preserve"> </w:t>
      </w:r>
      <w:r w:rsidR="003821C8">
        <w:t xml:space="preserve">The use of structured data allows for an </w:t>
      </w:r>
      <w:r w:rsidR="003821C8" w:rsidRPr="110D198D">
        <w:rPr>
          <w:rFonts w:ascii="Calibri" w:eastAsia="Calibri" w:hAnsi="Calibri" w:cs="Calibri"/>
        </w:rPr>
        <w:t xml:space="preserve">AI-facilitated updating mechanism </w:t>
      </w:r>
      <w:r w:rsidR="003821C8">
        <w:rPr>
          <w:rFonts w:ascii="Calibri" w:eastAsia="Calibri" w:hAnsi="Calibri" w:cs="Calibri"/>
        </w:rPr>
        <w:t>t</w:t>
      </w:r>
      <w:r w:rsidR="003661EB">
        <w:rPr>
          <w:rFonts w:ascii="Calibri" w:eastAsia="Calibri" w:hAnsi="Calibri" w:cs="Calibri"/>
        </w:rPr>
        <w:t>hat</w:t>
      </w:r>
      <w:r w:rsidR="003821C8">
        <w:rPr>
          <w:rFonts w:ascii="Calibri" w:eastAsia="Calibri" w:hAnsi="Calibri" w:cs="Calibri"/>
        </w:rPr>
        <w:t xml:space="preserve"> </w:t>
      </w:r>
      <w:r w:rsidR="003821C8" w:rsidRPr="110D198D">
        <w:rPr>
          <w:rFonts w:ascii="Calibri" w:eastAsia="Calibri" w:hAnsi="Calibri" w:cs="Calibri"/>
        </w:rPr>
        <w:t>recognize</w:t>
      </w:r>
      <w:r w:rsidR="003661EB">
        <w:rPr>
          <w:rFonts w:ascii="Calibri" w:eastAsia="Calibri" w:hAnsi="Calibri" w:cs="Calibri"/>
        </w:rPr>
        <w:t>s</w:t>
      </w:r>
      <w:r w:rsidR="003821C8" w:rsidRPr="110D198D">
        <w:rPr>
          <w:rFonts w:ascii="Calibri" w:eastAsia="Calibri" w:hAnsi="Calibri" w:cs="Calibri"/>
        </w:rPr>
        <w:t xml:space="preserve"> specific data items of the administrative procedure requiring updates following regulatory amendments</w:t>
      </w:r>
      <w:r w:rsidR="003821C8">
        <w:rPr>
          <w:rFonts w:ascii="Calibri" w:eastAsia="Calibri" w:hAnsi="Calibri" w:cs="Calibri"/>
        </w:rPr>
        <w:t xml:space="preserve"> (</w:t>
      </w:r>
      <w:r w:rsidR="000B3C4F">
        <w:rPr>
          <w:rFonts w:ascii="Calibri" w:eastAsia="Calibri" w:hAnsi="Calibri" w:cs="Calibri"/>
        </w:rPr>
        <w:t>e.g.,</w:t>
      </w:r>
      <w:r w:rsidR="003F187D">
        <w:rPr>
          <w:rFonts w:ascii="Calibri" w:eastAsia="Calibri" w:hAnsi="Calibri" w:cs="Calibri"/>
        </w:rPr>
        <w:t xml:space="preserve"> changes in</w:t>
      </w:r>
      <w:r w:rsidR="003821C8">
        <w:rPr>
          <w:rFonts w:ascii="Calibri" w:eastAsia="Calibri" w:hAnsi="Calibri" w:cs="Calibri"/>
        </w:rPr>
        <w:t xml:space="preserve"> </w:t>
      </w:r>
      <w:r w:rsidR="003F187D">
        <w:rPr>
          <w:rFonts w:ascii="Calibri" w:eastAsia="Calibri" w:hAnsi="Calibri" w:cs="Calibri"/>
        </w:rPr>
        <w:t>fees or processing deadlines)</w:t>
      </w:r>
      <w:r w:rsidR="003821C8" w:rsidRPr="110D198D">
        <w:rPr>
          <w:rFonts w:ascii="Calibri" w:eastAsia="Calibri" w:hAnsi="Calibri" w:cs="Calibri"/>
        </w:rPr>
        <w:t>.</w:t>
      </w:r>
      <w:r w:rsidR="003F187D">
        <w:rPr>
          <w:rFonts w:ascii="Calibri" w:eastAsia="Calibri" w:hAnsi="Calibri" w:cs="Calibri"/>
        </w:rPr>
        <w:t xml:space="preserve"> </w:t>
      </w:r>
      <w:bookmarkEnd w:id="37"/>
      <w:r w:rsidR="0093602D">
        <w:rPr>
          <w:rFonts w:ascii="Calibri" w:eastAsia="Calibri" w:hAnsi="Calibri" w:cs="Calibri"/>
        </w:rPr>
        <w:t>I</w:t>
      </w:r>
      <w:r w:rsidR="00634EBC" w:rsidRPr="110D198D">
        <w:rPr>
          <w:rFonts w:ascii="Calibri" w:eastAsia="Calibri" w:hAnsi="Calibri" w:cs="Calibri"/>
        </w:rPr>
        <w:t>nstead of a manual update, a</w:t>
      </w:r>
      <w:r w:rsidR="009E4EDA">
        <w:rPr>
          <w:rFonts w:ascii="Calibri" w:eastAsia="Calibri" w:hAnsi="Calibri" w:cs="Calibri"/>
        </w:rPr>
        <w:t xml:space="preserve">n official in the implementing agency </w:t>
      </w:r>
      <w:r w:rsidR="00634EBC" w:rsidRPr="110D198D">
        <w:rPr>
          <w:rFonts w:ascii="Calibri" w:eastAsia="Calibri" w:hAnsi="Calibri" w:cs="Calibri"/>
        </w:rPr>
        <w:t xml:space="preserve">would have to only </w:t>
      </w:r>
      <w:r w:rsidR="00BA5DCE">
        <w:rPr>
          <w:rFonts w:ascii="Calibri" w:eastAsia="Calibri" w:hAnsi="Calibri" w:cs="Calibri"/>
        </w:rPr>
        <w:t xml:space="preserve">have to </w:t>
      </w:r>
      <w:r w:rsidR="00634EBC" w:rsidRPr="110D198D">
        <w:rPr>
          <w:rFonts w:ascii="Calibri" w:eastAsia="Calibri" w:hAnsi="Calibri" w:cs="Calibri"/>
        </w:rPr>
        <w:t>validate automatically suggested changes in the administrative procedure data.</w:t>
      </w:r>
      <w:bookmarkStart w:id="38" w:name="_Ref162337969"/>
    </w:p>
    <w:p w14:paraId="2C91DE4E" w14:textId="5175BB1C" w:rsidR="00634EBC" w:rsidRPr="00C51336" w:rsidRDefault="00FA0DC1" w:rsidP="00CF13CA">
      <w:pPr>
        <w:pStyle w:val="Heading4"/>
        <w:spacing w:before="100" w:beforeAutospacing="1" w:after="100" w:afterAutospacing="1"/>
      </w:pPr>
      <w:bookmarkStart w:id="39" w:name="_Ref163457615"/>
      <w:r>
        <w:lastRenderedPageBreak/>
        <w:t>Develop</w:t>
      </w:r>
      <w:r w:rsidR="00D5114F">
        <w:t xml:space="preserve"> business-friendly</w:t>
      </w:r>
      <w:r>
        <w:t xml:space="preserve"> </w:t>
      </w:r>
      <w:r w:rsidR="00634EBC">
        <w:t>content standards for information published on the NPSP</w:t>
      </w:r>
      <w:bookmarkEnd w:id="39"/>
      <w:r w:rsidR="00833CD2">
        <w:t>.</w:t>
      </w:r>
    </w:p>
    <w:p w14:paraId="42AF6AA1" w14:textId="211F2F68" w:rsidR="00ED14E1" w:rsidRPr="00C51336" w:rsidRDefault="00634EBC" w:rsidP="00C51336">
      <w:pPr>
        <w:jc w:val="both"/>
        <w:rPr>
          <w:rFonts w:ascii="Calibri" w:eastAsia="Calibri" w:hAnsi="Calibri" w:cs="Calibri"/>
        </w:rPr>
      </w:pPr>
      <w:r w:rsidRPr="00AA6635">
        <w:rPr>
          <w:rFonts w:ascii="Calibri" w:eastAsia="Calibri" w:hAnsi="Calibri" w:cs="Calibri"/>
          <w:b/>
          <w:bCs/>
        </w:rPr>
        <w:t xml:space="preserve">To ensure that administrative procedure information published to the NPSP is </w:t>
      </w:r>
      <w:r w:rsidR="00FC18B6" w:rsidRPr="00AA6635">
        <w:rPr>
          <w:rFonts w:ascii="Calibri" w:eastAsia="Calibri" w:hAnsi="Calibri" w:cs="Calibri"/>
          <w:b/>
          <w:bCs/>
        </w:rPr>
        <w:t>business friendly</w:t>
      </w:r>
      <w:r w:rsidRPr="00AA6635">
        <w:rPr>
          <w:rFonts w:ascii="Calibri" w:eastAsia="Calibri" w:hAnsi="Calibri" w:cs="Calibri"/>
          <w:b/>
          <w:bCs/>
        </w:rPr>
        <w:t>, APCA</w:t>
      </w:r>
      <w:r w:rsidR="00EE7900" w:rsidRPr="00AA6635">
        <w:rPr>
          <w:rFonts w:ascii="Calibri" w:eastAsia="Calibri" w:hAnsi="Calibri" w:cs="Calibri"/>
          <w:b/>
          <w:bCs/>
        </w:rPr>
        <w:t>/OOG</w:t>
      </w:r>
      <w:r w:rsidRPr="00AA6635">
        <w:rPr>
          <w:rFonts w:ascii="Calibri" w:eastAsia="Calibri" w:hAnsi="Calibri" w:cs="Calibri"/>
          <w:b/>
          <w:bCs/>
        </w:rPr>
        <w:t xml:space="preserve"> </w:t>
      </w:r>
      <w:r w:rsidR="00EE7900" w:rsidRPr="00AA6635">
        <w:rPr>
          <w:rFonts w:ascii="Calibri" w:eastAsia="Calibri" w:hAnsi="Calibri" w:cs="Calibri"/>
          <w:b/>
          <w:bCs/>
        </w:rPr>
        <w:t xml:space="preserve">could </w:t>
      </w:r>
      <w:r w:rsidRPr="00AA6635">
        <w:rPr>
          <w:rFonts w:ascii="Calibri" w:eastAsia="Calibri" w:hAnsi="Calibri" w:cs="Calibri"/>
          <w:b/>
          <w:bCs/>
        </w:rPr>
        <w:t xml:space="preserve">develop </w:t>
      </w:r>
      <w:r w:rsidR="0030168F" w:rsidRPr="15E5BA73">
        <w:rPr>
          <w:rFonts w:ascii="Calibri" w:eastAsia="Calibri" w:hAnsi="Calibri" w:cs="Calibri"/>
          <w:b/>
          <w:bCs/>
        </w:rPr>
        <w:t xml:space="preserve">guidelines for </w:t>
      </w:r>
      <w:r w:rsidRPr="00AA6635">
        <w:rPr>
          <w:rFonts w:ascii="Calibri" w:eastAsia="Calibri" w:hAnsi="Calibri" w:cs="Calibri"/>
          <w:b/>
          <w:bCs/>
        </w:rPr>
        <w:t>content and formatting standards to ensure that the information is concise, transparent, easily accessible, and communicated in clear and plain language</w:t>
      </w:r>
      <w:r w:rsidR="00B403A0" w:rsidRPr="00AA6635">
        <w:rPr>
          <w:rFonts w:ascii="Calibri" w:eastAsia="Calibri" w:hAnsi="Calibri" w:cs="Calibri"/>
          <w:b/>
          <w:bCs/>
        </w:rPr>
        <w:t>.</w:t>
      </w:r>
      <w:r w:rsidR="00B403A0">
        <w:rPr>
          <w:rFonts w:ascii="Calibri" w:eastAsia="Calibri" w:hAnsi="Calibri" w:cs="Calibri"/>
        </w:rPr>
        <w:t xml:space="preserve"> </w:t>
      </w:r>
      <w:r w:rsidRPr="110D198D">
        <w:rPr>
          <w:rFonts w:ascii="Calibri" w:eastAsia="Calibri" w:hAnsi="Calibri" w:cs="Calibri"/>
        </w:rPr>
        <w:t xml:space="preserve"> </w:t>
      </w:r>
      <w:r w:rsidR="1AF2C6E7" w:rsidRPr="15E5BA73">
        <w:rPr>
          <w:rFonts w:ascii="Calibri" w:eastAsia="Calibri" w:hAnsi="Calibri" w:cs="Calibri"/>
        </w:rPr>
        <w:t>Copying</w:t>
      </w:r>
      <w:r w:rsidRPr="110D198D">
        <w:rPr>
          <w:rFonts w:ascii="Calibri" w:eastAsia="Calibri" w:hAnsi="Calibri" w:cs="Calibri"/>
        </w:rPr>
        <w:t xml:space="preserve"> and pasting legal text from </w:t>
      </w:r>
      <w:r w:rsidR="00B403A0">
        <w:rPr>
          <w:rFonts w:ascii="Calibri" w:eastAsia="Calibri" w:hAnsi="Calibri" w:cs="Calibri"/>
        </w:rPr>
        <w:t>legal documents</w:t>
      </w:r>
      <w:r w:rsidRPr="110D198D">
        <w:rPr>
          <w:rFonts w:ascii="Calibri" w:eastAsia="Calibri" w:hAnsi="Calibri" w:cs="Calibri"/>
        </w:rPr>
        <w:t xml:space="preserve"> is not sufficient</w:t>
      </w:r>
      <w:r w:rsidR="00B403A0">
        <w:rPr>
          <w:rFonts w:ascii="Calibri" w:eastAsia="Calibri" w:hAnsi="Calibri" w:cs="Calibri"/>
        </w:rPr>
        <w:t xml:space="preserve"> to make information accessible</w:t>
      </w:r>
      <w:r w:rsidRPr="110D198D">
        <w:rPr>
          <w:rFonts w:ascii="Calibri" w:eastAsia="Calibri" w:hAnsi="Calibri" w:cs="Calibri"/>
        </w:rPr>
        <w:t>. For example, the UK’s Government Digital Service has published their Content design guidelines</w:t>
      </w:r>
      <w:r w:rsidRPr="110D198D">
        <w:rPr>
          <w:rFonts w:ascii="Calibri" w:eastAsia="Calibri" w:hAnsi="Calibri" w:cs="Calibri"/>
          <w:vertAlign w:val="superscript"/>
        </w:rPr>
        <w:footnoteReference w:id="113"/>
      </w:r>
      <w:r w:rsidRPr="110D198D">
        <w:rPr>
          <w:rFonts w:ascii="Calibri" w:eastAsia="Calibri" w:hAnsi="Calibri" w:cs="Calibri"/>
        </w:rPr>
        <w:t xml:space="preserve"> that provide practical advice and insights on writing technical or legal content.</w:t>
      </w:r>
      <w:r w:rsidR="002045A6" w:rsidRPr="110D198D">
        <w:rPr>
          <w:rFonts w:ascii="Calibri" w:eastAsia="Calibri" w:hAnsi="Calibri" w:cs="Calibri"/>
        </w:rPr>
        <w:t xml:space="preserve"> </w:t>
      </w:r>
      <w:r w:rsidRPr="110D198D">
        <w:rPr>
          <w:rFonts w:ascii="Calibri" w:eastAsia="Calibri" w:hAnsi="Calibri" w:cs="Calibri"/>
        </w:rPr>
        <w:t xml:space="preserve">Further, </w:t>
      </w:r>
      <w:r w:rsidR="002045A6" w:rsidRPr="110D198D">
        <w:rPr>
          <w:rFonts w:ascii="Calibri" w:eastAsia="Calibri" w:hAnsi="Calibri" w:cs="Calibri"/>
        </w:rPr>
        <w:t>APCA/OOG could</w:t>
      </w:r>
      <w:r w:rsidRPr="110D198D">
        <w:rPr>
          <w:rFonts w:ascii="Calibri" w:eastAsia="Calibri" w:hAnsi="Calibri" w:cs="Calibri"/>
        </w:rPr>
        <w:t xml:space="preserve"> assess compliance of the NPSP with the W3C’s Web Content Accessibility Guidelines (WCAG).</w:t>
      </w:r>
      <w:r w:rsidR="007542C4" w:rsidRPr="110D198D">
        <w:rPr>
          <w:rFonts w:ascii="Calibri" w:eastAsia="Calibri" w:hAnsi="Calibri" w:cs="Calibri"/>
          <w:vertAlign w:val="superscript"/>
        </w:rPr>
        <w:footnoteReference w:id="114"/>
      </w:r>
      <w:r w:rsidR="007542C4" w:rsidRPr="110D198D">
        <w:rPr>
          <w:rFonts w:ascii="Calibri" w:eastAsia="Calibri" w:hAnsi="Calibri" w:cs="Calibri"/>
        </w:rPr>
        <w:t xml:space="preserve"> </w:t>
      </w:r>
      <w:r w:rsidRPr="110D198D">
        <w:rPr>
          <w:rFonts w:ascii="Calibri" w:eastAsia="Calibri" w:hAnsi="Calibri" w:cs="Calibri"/>
        </w:rPr>
        <w:t xml:space="preserve"> As Viet Nam </w:t>
      </w:r>
      <w:r w:rsidR="00F14D86" w:rsidRPr="110D198D">
        <w:rPr>
          <w:rFonts w:ascii="Calibri" w:eastAsia="Calibri" w:hAnsi="Calibri" w:cs="Calibri"/>
        </w:rPr>
        <w:t>continues</w:t>
      </w:r>
      <w:r w:rsidRPr="110D198D">
        <w:rPr>
          <w:rFonts w:ascii="Calibri" w:eastAsia="Calibri" w:hAnsi="Calibri" w:cs="Calibri"/>
        </w:rPr>
        <w:t xml:space="preserve"> its digital transformation journey, </w:t>
      </w:r>
      <w:r w:rsidR="00DA0D89">
        <w:rPr>
          <w:rFonts w:ascii="Calibri" w:eastAsia="Calibri" w:hAnsi="Calibri" w:cs="Calibri"/>
        </w:rPr>
        <w:t xml:space="preserve">more </w:t>
      </w:r>
      <w:r w:rsidRPr="110D198D">
        <w:rPr>
          <w:rFonts w:ascii="Calibri" w:eastAsia="Calibri" w:hAnsi="Calibri" w:cs="Calibri"/>
        </w:rPr>
        <w:t xml:space="preserve">information and application forms </w:t>
      </w:r>
      <w:r w:rsidR="00DA0D89">
        <w:rPr>
          <w:rFonts w:ascii="Calibri" w:eastAsia="Calibri" w:hAnsi="Calibri" w:cs="Calibri"/>
        </w:rPr>
        <w:t xml:space="preserve">could </w:t>
      </w:r>
      <w:r w:rsidRPr="110D198D">
        <w:rPr>
          <w:rFonts w:ascii="Calibri" w:eastAsia="Calibri" w:hAnsi="Calibri" w:cs="Calibri"/>
        </w:rPr>
        <w:t>be migrated from Word documents and PDFs to more accessible formats (i.e., well-structured HTML).</w:t>
      </w:r>
      <w:bookmarkEnd w:id="38"/>
    </w:p>
    <w:p w14:paraId="47CAEE4F" w14:textId="1A16B043" w:rsidR="00A54DA0" w:rsidRPr="00C51336" w:rsidRDefault="00A54DA0" w:rsidP="7037353D">
      <w:pPr>
        <w:pStyle w:val="Heading3"/>
        <w:spacing w:before="100" w:beforeAutospacing="1" w:after="100" w:afterAutospacing="1"/>
      </w:pPr>
      <w:r>
        <w:t xml:space="preserve">Transform the current one-roof OSS </w:t>
      </w:r>
      <w:r w:rsidR="4D174CDE">
        <w:t xml:space="preserve">service </w:t>
      </w:r>
      <w:r>
        <w:t>delivery model to an integrated single window model</w:t>
      </w:r>
      <w:r w:rsidR="00833CD2">
        <w:t>.</w:t>
      </w:r>
    </w:p>
    <w:p w14:paraId="4F25379F" w14:textId="07189804" w:rsidR="00A54DA0" w:rsidRPr="00C51336" w:rsidRDefault="721C2763" w:rsidP="00AA6635">
      <w:pPr>
        <w:pStyle w:val="Body"/>
      </w:pPr>
      <w:r w:rsidRPr="00AA6635">
        <w:rPr>
          <w:b/>
          <w:bCs/>
        </w:rPr>
        <w:t>The current one-roof OSS service delivery model should be transformed to an integrated single</w:t>
      </w:r>
      <w:r w:rsidRPr="15E5BA73">
        <w:rPr>
          <w:b/>
          <w:bCs/>
        </w:rPr>
        <w:t>-</w:t>
      </w:r>
      <w:r w:rsidRPr="00AA6635">
        <w:rPr>
          <w:b/>
          <w:bCs/>
        </w:rPr>
        <w:t>window model</w:t>
      </w:r>
      <w:r>
        <w:t xml:space="preserve">. </w:t>
      </w:r>
      <w:r w:rsidR="46B9A0BF">
        <w:t xml:space="preserve">The current local OSS model is based on </w:t>
      </w:r>
      <w:r w:rsidR="38B6E17B">
        <w:t xml:space="preserve">co-located </w:t>
      </w:r>
      <w:r w:rsidR="516AF75A">
        <w:t>services,</w:t>
      </w:r>
      <w:r w:rsidR="46B9A0BF">
        <w:t xml:space="preserve"> </w:t>
      </w:r>
      <w:r w:rsidR="38B6E17B">
        <w:t xml:space="preserve">but they are not integrated with each other, </w:t>
      </w:r>
      <w:r w:rsidR="571F67C5">
        <w:t>except for a limited numb</w:t>
      </w:r>
      <w:r w:rsidR="26469E01">
        <w:t xml:space="preserve">er of services such as birth </w:t>
      </w:r>
      <w:r w:rsidR="59842525">
        <w:t>certificate</w:t>
      </w:r>
      <w:r w:rsidR="646DDCBF">
        <w:t xml:space="preserve"> and infant insurance. </w:t>
      </w:r>
      <w:r w:rsidR="2506A2BF">
        <w:t>For the most part, the</w:t>
      </w:r>
      <w:r w:rsidR="64F9EFAC">
        <w:t xml:space="preserve"> services </w:t>
      </w:r>
      <w:r w:rsidR="38B6E17B">
        <w:t xml:space="preserve">are being delivered by different </w:t>
      </w:r>
      <w:r w:rsidR="2506A2BF">
        <w:t xml:space="preserve">officials </w:t>
      </w:r>
      <w:r w:rsidR="38B6E17B">
        <w:t xml:space="preserve">working for different departments. </w:t>
      </w:r>
      <w:r w:rsidR="516AF75A">
        <w:t xml:space="preserve">As efforts towards process integration and data sharing in the online environment advance, the OSS can evolve towards a </w:t>
      </w:r>
      <w:r w:rsidR="38B6E17B">
        <w:t>single-window</w:t>
      </w:r>
      <w:r w:rsidR="10862BBD">
        <w:t xml:space="preserve"> model</w:t>
      </w:r>
      <w:r w:rsidR="38B6E17B">
        <w:t xml:space="preserve">. </w:t>
      </w:r>
      <w:r w:rsidR="00BF33A8">
        <w:t>That way,</w:t>
      </w:r>
      <w:r w:rsidR="38B6E17B">
        <w:t xml:space="preserve"> business operators who cannot access online services and require assistance to file their applications could do so by visiting one location and interacting with one representative to access government services across a wide variety of </w:t>
      </w:r>
      <w:r w:rsidR="10862BBD">
        <w:t>agencies</w:t>
      </w:r>
      <w:r w:rsidR="38B6E17B">
        <w:t xml:space="preserve">. The service integration could follow a </w:t>
      </w:r>
      <w:r w:rsidR="00A71388">
        <w:t xml:space="preserve">gradual </w:t>
      </w:r>
      <w:r w:rsidR="38B6E17B">
        <w:t xml:space="preserve">approach since these developments require long-term efforts and continuous optimizations such as redesigning </w:t>
      </w:r>
      <w:bookmarkStart w:id="40" w:name="_Int_gvQKnWP7"/>
      <w:r w:rsidR="38B6E17B">
        <w:t>back-end</w:t>
      </w:r>
      <w:bookmarkEnd w:id="40"/>
      <w:r w:rsidR="38B6E17B">
        <w:t xml:space="preserve"> and front-end </w:t>
      </w:r>
      <w:r w:rsidR="004A11D1">
        <w:t>workflows and</w:t>
      </w:r>
      <w:r w:rsidR="38B6E17B">
        <w:t xml:space="preserve"> developing integrated input data forms (with input data validation rules) that are based on structured and semi-structured data.</w:t>
      </w:r>
    </w:p>
    <w:p w14:paraId="393D69F6" w14:textId="7ED3F63D" w:rsidR="00AD0915" w:rsidRPr="00C51336" w:rsidRDefault="000A29D5" w:rsidP="7037353D">
      <w:pPr>
        <w:pStyle w:val="Heading3"/>
        <w:spacing w:before="100" w:beforeAutospacing="1" w:after="100" w:afterAutospacing="1"/>
      </w:pPr>
      <w:r>
        <w:t>Strengthen</w:t>
      </w:r>
      <w:r w:rsidR="00AD0915">
        <w:t xml:space="preserve"> and expand APCA’s mandate to provide adequate oversight</w:t>
      </w:r>
      <w:r w:rsidR="26F623DF">
        <w:t xml:space="preserve"> and coordination</w:t>
      </w:r>
      <w:r w:rsidR="00AD0915">
        <w:t xml:space="preserve"> in regulatory delivery.</w:t>
      </w:r>
    </w:p>
    <w:p w14:paraId="79392F62" w14:textId="0A7B5425" w:rsidR="00AD0915" w:rsidRPr="00C51336" w:rsidRDefault="5C1DAD7F" w:rsidP="00AD0915">
      <w:pPr>
        <w:pStyle w:val="Body"/>
      </w:pPr>
      <w:r w:rsidRPr="00AA6635">
        <w:rPr>
          <w:b/>
          <w:bCs/>
        </w:rPr>
        <w:t>APCA/OOG’s mandate should be strengthened and expanded to improve</w:t>
      </w:r>
      <w:r w:rsidR="2113BF9D" w:rsidRPr="00AA6635">
        <w:rPr>
          <w:b/>
          <w:bCs/>
        </w:rPr>
        <w:t xml:space="preserve"> oversight and coordination in regulatory reform and delivery</w:t>
      </w:r>
      <w:r w:rsidR="2113BF9D">
        <w:t>.</w:t>
      </w:r>
      <w:r>
        <w:t xml:space="preserve"> </w:t>
      </w:r>
      <w:r w:rsidR="00AD0915" w:rsidRPr="00C51336">
        <w:t>APCA</w:t>
      </w:r>
      <w:r w:rsidR="00ED7208">
        <w:t>/OOG</w:t>
      </w:r>
      <w:r w:rsidR="004B2946">
        <w:t xml:space="preserve"> is located at the center of </w:t>
      </w:r>
      <w:r w:rsidR="009577E8">
        <w:t>the government and it</w:t>
      </w:r>
      <w:r w:rsidR="00AD0915" w:rsidRPr="00C51336">
        <w:t>s role is institutionalized, which is a good basis for continuous improvement in business regulations</w:t>
      </w:r>
      <w:r w:rsidR="004A5E02">
        <w:t xml:space="preserve"> in a whole-of-government manner</w:t>
      </w:r>
      <w:r w:rsidR="00AD0915" w:rsidRPr="00C51336">
        <w:t>. At the same time, APCA</w:t>
      </w:r>
      <w:r w:rsidR="00256955" w:rsidRPr="00C51336">
        <w:t>/OOG</w:t>
      </w:r>
      <w:r w:rsidR="00AD0915" w:rsidRPr="00C51336">
        <w:t xml:space="preserve">’s mandate focuses on administrative </w:t>
      </w:r>
      <w:r w:rsidR="00D22AD4">
        <w:t>and regulatory reforms</w:t>
      </w:r>
      <w:r w:rsidR="00AD0915" w:rsidRPr="00C51336">
        <w:t xml:space="preserve">, </w:t>
      </w:r>
      <w:r w:rsidR="00CF7AFB">
        <w:t>while</w:t>
      </w:r>
      <w:r w:rsidR="00CF7AFB" w:rsidRPr="00C51336">
        <w:t xml:space="preserve"> </w:t>
      </w:r>
      <w:r w:rsidR="00DC27FF">
        <w:t xml:space="preserve">its </w:t>
      </w:r>
      <w:r w:rsidR="001A332F">
        <w:t xml:space="preserve">legal </w:t>
      </w:r>
      <w:r w:rsidR="006B57F8">
        <w:t xml:space="preserve">authority and political clout </w:t>
      </w:r>
      <w:r w:rsidR="00E10223">
        <w:t>may not be</w:t>
      </w:r>
      <w:r w:rsidR="00AD0915" w:rsidRPr="00C51336">
        <w:t xml:space="preserve"> sufficient to push and coordinate reforms on regulatory delivery with the relevant regulators/line Ministries. Other </w:t>
      </w:r>
      <w:r w:rsidR="00233E31">
        <w:t xml:space="preserve">countries </w:t>
      </w:r>
      <w:r w:rsidR="00AD0915" w:rsidRPr="00C51336">
        <w:t>have institutionalized similar reform mechanisms with a broader reform mandate either on regulatory delivery or even more broadly on economic development and diversification. Such examples include the United Kingdom’s Office of Product S</w:t>
      </w:r>
      <w:bookmarkStart w:id="41" w:name="_Int_o1MY8p7Y"/>
      <w:r w:rsidR="00AD0915" w:rsidRPr="00C51336">
        <w:t>afety and S</w:t>
      </w:r>
      <w:bookmarkEnd w:id="41"/>
      <w:r w:rsidR="00AD0915" w:rsidRPr="00C51336">
        <w:t>tandards,</w:t>
      </w:r>
      <w:r w:rsidR="00AD0915" w:rsidRPr="00C51336">
        <w:rPr>
          <w:rStyle w:val="FootnoteReference"/>
        </w:rPr>
        <w:footnoteReference w:id="115"/>
      </w:r>
      <w:r w:rsidR="00AD0915" w:rsidRPr="00C51336">
        <w:t xml:space="preserve"> and Greece’s Better Regulatory Delivery Directorate, among others. </w:t>
      </w:r>
    </w:p>
    <w:p w14:paraId="06854DE5" w14:textId="61B162FA" w:rsidR="00AD0915" w:rsidRPr="00C51336" w:rsidRDefault="00AD0915" w:rsidP="00AD0915">
      <w:pPr>
        <w:pStyle w:val="Body"/>
      </w:pPr>
      <w:r w:rsidRPr="00AA6635">
        <w:rPr>
          <w:b/>
          <w:bCs/>
        </w:rPr>
        <w:lastRenderedPageBreak/>
        <w:t>Implementing a risk-based approach to business licensing and inspections will require high-level political support and coordination.</w:t>
      </w:r>
      <w:r>
        <w:t xml:space="preserve"> Experience from other </w:t>
      </w:r>
      <w:r w:rsidR="00380B4F">
        <w:t>countrie</w:t>
      </w:r>
      <w:r>
        <w:t xml:space="preserve">s shows that sometimes regulators can be reluctant in terms of making drastic changes in how they regulate a sector or pivoting away from legacy command-and-control regulatory strategies and towards risk-based strategies. Also, in some cases, a regulatory review may reveal overlaps and duplications between the roles, regulations, and processes of two or more regulators. </w:t>
      </w:r>
      <w:r w:rsidR="00285481">
        <w:t>Addressing these situations requires a</w:t>
      </w:r>
      <w:r>
        <w:t xml:space="preserve"> structured process to manage cases where the regulators will resist change, or where there will be disagreements between regulators on how to resolve overlaps and duplications.</w:t>
      </w:r>
      <w:r w:rsidR="00777EC0">
        <w:t xml:space="preserve"> </w:t>
      </w:r>
      <w:r>
        <w:t>To that end, it will be important to establish clear roles and responsibilities in terms of conducting the regulatory review, and in terms of making the final decision on how to reform ex-ante controls for an economic activity.</w:t>
      </w:r>
    </w:p>
    <w:p w14:paraId="0572FDAB" w14:textId="69FC954B" w:rsidR="00AD0915" w:rsidRPr="00C51336" w:rsidRDefault="000A29D5" w:rsidP="00CF13CA">
      <w:pPr>
        <w:pStyle w:val="Heading3"/>
        <w:spacing w:before="100" w:beforeAutospacing="1" w:after="100" w:afterAutospacing="1"/>
      </w:pPr>
      <w:r>
        <w:t xml:space="preserve">Strengthen </w:t>
      </w:r>
      <w:r w:rsidR="00AD0915">
        <w:t>Key Performance Indicators for regulatory delivery.</w:t>
      </w:r>
    </w:p>
    <w:p w14:paraId="4BDAA92F" w14:textId="39969650" w:rsidR="00820390" w:rsidRDefault="00AF5DFF" w:rsidP="00AD0915">
      <w:pPr>
        <w:pStyle w:val="Body"/>
      </w:pPr>
      <w:r w:rsidRPr="00AA6635">
        <w:rPr>
          <w:b/>
          <w:bCs/>
        </w:rPr>
        <w:t xml:space="preserve">The KPI framework can be improved </w:t>
      </w:r>
      <w:r w:rsidR="5300E17E" w:rsidRPr="00AA6635">
        <w:rPr>
          <w:b/>
          <w:bCs/>
        </w:rPr>
        <w:t>to make it more effective</w:t>
      </w:r>
      <w:r w:rsidR="5300E17E">
        <w:t xml:space="preserve">. This can be done </w:t>
      </w:r>
      <w:r>
        <w:t>in several ways</w:t>
      </w:r>
      <w:r w:rsidR="00AD0915">
        <w:t xml:space="preserve">. For example, the definition of “digitalized APs”, and the definition of “digitalized information/data” could be clarified. </w:t>
      </w:r>
      <w:r w:rsidR="007A2FB3">
        <w:t>T</w:t>
      </w:r>
      <w:r w:rsidR="00AD0915">
        <w:t>he indicator</w:t>
      </w:r>
      <w:r w:rsidR="007A2FB3">
        <w:t>s</w:t>
      </w:r>
      <w:r w:rsidR="00AD0915">
        <w:t xml:space="preserve"> should ideally measure the number of (integrated) end-to-end </w:t>
      </w:r>
      <w:r w:rsidR="007A2FB3">
        <w:t>and contactless</w:t>
      </w:r>
      <w:r w:rsidR="00AD0915">
        <w:t xml:space="preserve"> services – not </w:t>
      </w:r>
      <w:r w:rsidR="007A2FB3">
        <w:t xml:space="preserve">general online </w:t>
      </w:r>
      <w:r w:rsidR="00AD0915">
        <w:t xml:space="preserve">procedures that have been digitalized. Similarly, </w:t>
      </w:r>
      <w:r w:rsidR="00820390">
        <w:t xml:space="preserve">the KPIs can include the quality of </w:t>
      </w:r>
      <w:r w:rsidR="00B41094">
        <w:t xml:space="preserve">data </w:t>
      </w:r>
      <w:r w:rsidR="00F0680D">
        <w:t>generated in the process of AP handling</w:t>
      </w:r>
      <w:r w:rsidR="00B41094">
        <w:t xml:space="preserve"> as </w:t>
      </w:r>
      <w:r w:rsidR="00F0680D">
        <w:t xml:space="preserve">measured by </w:t>
      </w:r>
      <w:r w:rsidR="00966756">
        <w:t>ability to share and reuse in other services of the same ministr</w:t>
      </w:r>
      <w:r w:rsidR="00C82F60">
        <w:t xml:space="preserve">ies or other ministries. In addition, the </w:t>
      </w:r>
      <w:r w:rsidR="003E44E9">
        <w:t xml:space="preserve">KPIs can </w:t>
      </w:r>
      <w:r w:rsidR="00F20C10">
        <w:t>include the</w:t>
      </w:r>
      <w:r w:rsidR="003E44E9">
        <w:t xml:space="preserve"> </w:t>
      </w:r>
      <w:r w:rsidR="00C82F60">
        <w:t>number of authorizations converted into registrations/notifications</w:t>
      </w:r>
      <w:r w:rsidR="004E4F2B">
        <w:t xml:space="preserve"> and</w:t>
      </w:r>
      <w:r w:rsidR="00C82F60">
        <w:t xml:space="preserve"> the number of documentation requirements eliminated or simplified.</w:t>
      </w:r>
    </w:p>
    <w:p w14:paraId="5C01FC57" w14:textId="53F346DA" w:rsidR="0DA008CE" w:rsidRPr="00AA6635" w:rsidRDefault="0DA008CE" w:rsidP="7037353D">
      <w:pPr>
        <w:pStyle w:val="Body"/>
        <w:rPr>
          <w:b/>
          <w:bCs/>
          <w:color w:val="4472C4" w:themeColor="accent1"/>
        </w:rPr>
      </w:pPr>
      <w:r w:rsidRPr="00AA6635">
        <w:rPr>
          <w:b/>
          <w:bCs/>
          <w:color w:val="4472C4" w:themeColor="accent1"/>
        </w:rPr>
        <w:t xml:space="preserve">Table </w:t>
      </w:r>
      <w:r w:rsidR="00322E13" w:rsidRPr="00AA6635">
        <w:rPr>
          <w:b/>
          <w:bCs/>
          <w:color w:val="4472C4" w:themeColor="accent1"/>
        </w:rPr>
        <w:t>1</w:t>
      </w:r>
      <w:r w:rsidRPr="00AA6635">
        <w:rPr>
          <w:b/>
          <w:bCs/>
          <w:color w:val="4472C4" w:themeColor="accent1"/>
        </w:rPr>
        <w:t>: Summary of recommendations</w:t>
      </w:r>
    </w:p>
    <w:tbl>
      <w:tblPr>
        <w:tblStyle w:val="TableGrid"/>
        <w:tblW w:w="9350" w:type="dxa"/>
        <w:tblLayout w:type="fixed"/>
        <w:tblLook w:val="04A0" w:firstRow="1" w:lastRow="0" w:firstColumn="1" w:lastColumn="0" w:noHBand="0" w:noVBand="1"/>
      </w:tblPr>
      <w:tblGrid>
        <w:gridCol w:w="2076"/>
        <w:gridCol w:w="2684"/>
        <w:gridCol w:w="3330"/>
        <w:gridCol w:w="1260"/>
      </w:tblGrid>
      <w:tr w:rsidR="00DE2CF6" w:rsidRPr="00DE2CF6" w14:paraId="46718C48"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08198C8D" w14:textId="299C63DB" w:rsidR="00DE2CF6" w:rsidRPr="00AA6635" w:rsidRDefault="00DE2CF6" w:rsidP="00AA6635">
            <w:pPr>
              <w:jc w:val="center"/>
              <w:rPr>
                <w:rFonts w:ascii="Calibri" w:eastAsia="Calibri" w:hAnsi="Calibri" w:cs="Calibri"/>
                <w:b/>
                <w:bCs/>
                <w:sz w:val="20"/>
                <w:szCs w:val="20"/>
              </w:rPr>
            </w:pPr>
            <w:r w:rsidRPr="00AA6635">
              <w:rPr>
                <w:rFonts w:ascii="Calibri" w:eastAsia="Calibri" w:hAnsi="Calibri" w:cs="Calibri"/>
                <w:b/>
                <w:bCs/>
                <w:sz w:val="20"/>
                <w:szCs w:val="20"/>
              </w:rPr>
              <w:t>Challenge</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62A99E1F" w14:textId="6A5809D6" w:rsidR="00DE2CF6" w:rsidRPr="00AA6635" w:rsidRDefault="00DE2CF6" w:rsidP="00AA6635">
            <w:pPr>
              <w:jc w:val="center"/>
              <w:rPr>
                <w:rFonts w:ascii="Calibri" w:eastAsia="Calibri" w:hAnsi="Calibri" w:cs="Calibri"/>
                <w:b/>
                <w:bCs/>
                <w:sz w:val="20"/>
                <w:szCs w:val="20"/>
              </w:rPr>
            </w:pPr>
            <w:r w:rsidRPr="00AA6635">
              <w:rPr>
                <w:rFonts w:ascii="Calibri" w:eastAsia="Calibri" w:hAnsi="Calibri" w:cs="Calibri"/>
                <w:b/>
                <w:bCs/>
                <w:sz w:val="20"/>
                <w:szCs w:val="20"/>
              </w:rPr>
              <w:t>Recommendation</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7B1DDBEF" w14:textId="0B681D2D" w:rsidR="00DE2CF6" w:rsidRPr="00AA6635" w:rsidRDefault="00DE2CF6" w:rsidP="00AA6635">
            <w:pPr>
              <w:jc w:val="center"/>
              <w:rPr>
                <w:rFonts w:ascii="Calibri" w:eastAsia="Calibri" w:hAnsi="Calibri" w:cs="Calibri"/>
                <w:b/>
                <w:bCs/>
                <w:sz w:val="20"/>
                <w:szCs w:val="20"/>
              </w:rPr>
            </w:pPr>
            <w:r w:rsidRPr="00AA6635">
              <w:rPr>
                <w:rFonts w:ascii="Calibri" w:eastAsia="Calibri" w:hAnsi="Calibri" w:cs="Calibri"/>
                <w:b/>
                <w:bCs/>
                <w:sz w:val="20"/>
                <w:szCs w:val="20"/>
              </w:rPr>
              <w:t>Implementation</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7691F306" w14:textId="4679BF9D" w:rsidR="00DE2CF6" w:rsidRPr="00AA6635" w:rsidRDefault="00DE2CF6" w:rsidP="00AA6635">
            <w:pPr>
              <w:jc w:val="center"/>
              <w:rPr>
                <w:rFonts w:ascii="Calibri" w:eastAsia="Calibri" w:hAnsi="Calibri" w:cs="Calibri"/>
                <w:b/>
                <w:bCs/>
                <w:sz w:val="20"/>
                <w:szCs w:val="20"/>
              </w:rPr>
            </w:pPr>
            <w:r w:rsidRPr="00AA6635">
              <w:rPr>
                <w:rFonts w:ascii="Calibri" w:eastAsia="Calibri" w:hAnsi="Calibri" w:cs="Calibri"/>
                <w:b/>
                <w:bCs/>
                <w:sz w:val="20"/>
                <w:szCs w:val="20"/>
              </w:rPr>
              <w:t>Counterpart institutions</w:t>
            </w:r>
          </w:p>
        </w:tc>
      </w:tr>
      <w:tr w:rsidR="00DE2CF6" w:rsidRPr="00EA366E" w14:paraId="0254BA61" w14:textId="77777777" w:rsidTr="00AA6635">
        <w:trPr>
          <w:trHeight w:val="313"/>
        </w:trPr>
        <w:tc>
          <w:tcPr>
            <w:tcW w:w="9350"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0522E250" w14:textId="65090D1E" w:rsidR="00DE2CF6" w:rsidRPr="00AA6635" w:rsidRDefault="00DE2CF6" w:rsidP="00AA6635">
            <w:pPr>
              <w:pStyle w:val="ListParagraph"/>
              <w:numPr>
                <w:ilvl w:val="0"/>
                <w:numId w:val="34"/>
              </w:numPr>
              <w:rPr>
                <w:rFonts w:ascii="Calibri" w:eastAsia="Calibri" w:hAnsi="Calibri" w:cs="Calibri"/>
                <w:sz w:val="20"/>
                <w:szCs w:val="20"/>
              </w:rPr>
            </w:pPr>
            <w:r w:rsidRPr="00AA6635">
              <w:rPr>
                <w:rFonts w:ascii="Calibri" w:eastAsia="Calibri" w:hAnsi="Calibri" w:cs="Calibri"/>
                <w:b/>
                <w:bCs/>
                <w:sz w:val="20"/>
                <w:szCs w:val="20"/>
              </w:rPr>
              <w:t>Short-term (</w:t>
            </w:r>
            <w:r>
              <w:rPr>
                <w:rFonts w:ascii="Calibri" w:eastAsia="Calibri" w:hAnsi="Calibri" w:cs="Calibri"/>
                <w:b/>
                <w:bCs/>
                <w:sz w:val="20"/>
                <w:szCs w:val="20"/>
              </w:rPr>
              <w:t>2024-</w:t>
            </w:r>
            <w:r w:rsidRPr="00AA6635">
              <w:rPr>
                <w:rFonts w:ascii="Calibri" w:eastAsia="Calibri" w:hAnsi="Calibri" w:cs="Calibri"/>
                <w:b/>
                <w:bCs/>
                <w:sz w:val="20"/>
                <w:szCs w:val="20"/>
              </w:rPr>
              <w:t>2025) – mid-course adjustments to maximize impact of Resolution 68</w:t>
            </w:r>
          </w:p>
        </w:tc>
      </w:tr>
      <w:tr w:rsidR="00DE2CF6" w:rsidRPr="00DE2CF6" w14:paraId="760BA7A7"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624E311A" w14:textId="0EE1D0FC" w:rsidR="00DE2CF6" w:rsidRPr="00AA6635" w:rsidRDefault="001376FC" w:rsidP="00AA6635">
            <w:pPr>
              <w:rPr>
                <w:rFonts w:ascii="Calibri" w:eastAsia="Calibri" w:hAnsi="Calibri" w:cs="Calibri"/>
                <w:sz w:val="20"/>
                <w:szCs w:val="20"/>
              </w:rPr>
            </w:pPr>
            <w:r>
              <w:rPr>
                <w:rFonts w:ascii="Calibri" w:eastAsia="Calibri" w:hAnsi="Calibri" w:cs="Calibri"/>
                <w:sz w:val="20"/>
                <w:szCs w:val="20"/>
              </w:rPr>
              <w:t xml:space="preserve">Resolution 68 does not define </w:t>
            </w:r>
            <w:r w:rsidR="00D73548">
              <w:rPr>
                <w:rFonts w:ascii="Calibri" w:eastAsia="Calibri" w:hAnsi="Calibri" w:cs="Calibri"/>
                <w:sz w:val="20"/>
                <w:szCs w:val="20"/>
              </w:rPr>
              <w:t xml:space="preserve">criteria to prioritize regulations </w:t>
            </w:r>
            <w:r w:rsidR="001B01B4">
              <w:rPr>
                <w:rFonts w:ascii="Calibri" w:eastAsia="Calibri" w:hAnsi="Calibri" w:cs="Calibri"/>
                <w:sz w:val="20"/>
                <w:szCs w:val="20"/>
              </w:rPr>
              <w:t xml:space="preserve">for simplification </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0D2AD582" w14:textId="28F616CB" w:rsidR="00DE2CF6" w:rsidRPr="00AA6635" w:rsidRDefault="00DE2CF6" w:rsidP="00AA6635">
            <w:pPr>
              <w:rPr>
                <w:sz w:val="20"/>
                <w:szCs w:val="20"/>
              </w:rPr>
            </w:pPr>
            <w:r w:rsidRPr="00AA6635">
              <w:rPr>
                <w:sz w:val="20"/>
                <w:szCs w:val="20"/>
              </w:rPr>
              <w:t xml:space="preserve">A.1 </w:t>
            </w:r>
            <w:r w:rsidRPr="00F34BC4">
              <w:rPr>
                <w:sz w:val="20"/>
                <w:szCs w:val="20"/>
              </w:rPr>
              <w:t>Prioritize resources in areas with the highest likelihood of results.</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1648B132" w14:textId="6CCCCB79" w:rsidR="00DE2CF6" w:rsidRPr="00AA6635" w:rsidRDefault="00865A16" w:rsidP="00AA6635">
            <w:pPr>
              <w:rPr>
                <w:rFonts w:ascii="Calibri" w:eastAsia="Calibri" w:hAnsi="Calibri" w:cs="Calibri"/>
                <w:sz w:val="20"/>
                <w:szCs w:val="20"/>
              </w:rPr>
            </w:pPr>
            <w:r>
              <w:rPr>
                <w:sz w:val="20"/>
                <w:szCs w:val="20"/>
              </w:rPr>
              <w:t xml:space="preserve">APCA/OOG could set criteria </w:t>
            </w:r>
            <w:r w:rsidR="00390CB1">
              <w:rPr>
                <w:sz w:val="20"/>
                <w:szCs w:val="20"/>
              </w:rPr>
              <w:t>for prioritization, such as: i) b</w:t>
            </w:r>
            <w:r w:rsidR="00DE2CF6" w:rsidRPr="00AA6635">
              <w:rPr>
                <w:sz w:val="20"/>
                <w:szCs w:val="20"/>
              </w:rPr>
              <w:t>ased on public consultation</w:t>
            </w:r>
            <w:r w:rsidR="00390CB1">
              <w:rPr>
                <w:sz w:val="20"/>
                <w:szCs w:val="20"/>
              </w:rPr>
              <w:t xml:space="preserve">, </w:t>
            </w:r>
            <w:r w:rsidR="000F44BE">
              <w:rPr>
                <w:sz w:val="20"/>
                <w:szCs w:val="20"/>
              </w:rPr>
              <w:t>select</w:t>
            </w:r>
            <w:r w:rsidR="00DE2CF6" w:rsidRPr="00AA6635">
              <w:rPr>
                <w:sz w:val="20"/>
                <w:szCs w:val="20"/>
              </w:rPr>
              <w:t xml:space="preserve"> specific sectors or business activities</w:t>
            </w:r>
            <w:r w:rsidR="00C76AEA">
              <w:rPr>
                <w:sz w:val="20"/>
                <w:szCs w:val="20"/>
              </w:rPr>
              <w:t xml:space="preserve"> with high potential impact of reducing </w:t>
            </w:r>
            <w:r w:rsidR="00B15F74">
              <w:rPr>
                <w:sz w:val="20"/>
                <w:szCs w:val="20"/>
              </w:rPr>
              <w:t>the regulatory burden</w:t>
            </w:r>
            <w:r w:rsidR="00DE2CF6" w:rsidRPr="00AA6635">
              <w:rPr>
                <w:sz w:val="20"/>
                <w:szCs w:val="20"/>
              </w:rPr>
              <w:t xml:space="preserve">; </w:t>
            </w:r>
            <w:r w:rsidR="00BE2677">
              <w:rPr>
                <w:sz w:val="20"/>
                <w:szCs w:val="20"/>
              </w:rPr>
              <w:t xml:space="preserve">ii) assess </w:t>
            </w:r>
            <w:r w:rsidR="00DE2CF6" w:rsidRPr="00AA6635">
              <w:rPr>
                <w:sz w:val="20"/>
                <w:szCs w:val="20"/>
              </w:rPr>
              <w:t xml:space="preserve">level of engagement of specific ministries; </w:t>
            </w:r>
            <w:r w:rsidR="00BE2677">
              <w:rPr>
                <w:sz w:val="20"/>
                <w:szCs w:val="20"/>
              </w:rPr>
              <w:t xml:space="preserve">iii) </w:t>
            </w:r>
            <w:r w:rsidR="00DE2CF6" w:rsidRPr="00AA6635">
              <w:rPr>
                <w:sz w:val="20"/>
                <w:szCs w:val="20"/>
              </w:rPr>
              <w:t>focus on the legal instruments already approved by the Prime Minister for amendment.</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58B45B02" w14:textId="7B9D4B29" w:rsidR="00DE2CF6" w:rsidRPr="00AA6635" w:rsidRDefault="00DE2CF6" w:rsidP="7037353D">
            <w:pPr>
              <w:jc w:val="center"/>
              <w:rPr>
                <w:rFonts w:ascii="Calibri" w:eastAsia="Calibri" w:hAnsi="Calibri" w:cs="Calibri"/>
                <w:sz w:val="20"/>
                <w:szCs w:val="20"/>
              </w:rPr>
            </w:pPr>
            <w:r w:rsidRPr="00AA6635">
              <w:rPr>
                <w:rFonts w:ascii="Calibri" w:eastAsia="Calibri" w:hAnsi="Calibri" w:cs="Calibri"/>
                <w:sz w:val="20"/>
                <w:szCs w:val="20"/>
              </w:rPr>
              <w:t>APCA/OOG, Ministries, ACAPR members</w:t>
            </w:r>
          </w:p>
        </w:tc>
      </w:tr>
      <w:tr w:rsidR="00DE2CF6" w:rsidRPr="00DE2CF6" w14:paraId="4898FA6B"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051D545C" w14:textId="03D52F0F"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 xml:space="preserve">Incomplete </w:t>
            </w:r>
            <w:r w:rsidR="00B15F74">
              <w:rPr>
                <w:rFonts w:ascii="Calibri" w:eastAsia="Calibri" w:hAnsi="Calibri" w:cs="Calibri"/>
                <w:sz w:val="20"/>
                <w:szCs w:val="20"/>
              </w:rPr>
              <w:t>data to measures progress</w:t>
            </w:r>
            <w:r w:rsidRPr="00AA6635">
              <w:rPr>
                <w:rFonts w:ascii="Calibri" w:eastAsia="Calibri" w:hAnsi="Calibri" w:cs="Calibri"/>
                <w:sz w:val="20"/>
                <w:szCs w:val="20"/>
              </w:rPr>
              <w:t xml:space="preserve"> towards targets</w:t>
            </w:r>
            <w:r w:rsidR="00B15F74">
              <w:rPr>
                <w:rFonts w:ascii="Calibri" w:eastAsia="Calibri" w:hAnsi="Calibri" w:cs="Calibri"/>
                <w:sz w:val="20"/>
                <w:szCs w:val="20"/>
              </w:rPr>
              <w:t xml:space="preserve"> of reducing the number of regulations and compliance costs by 20 percent by 2025</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513A07CA" w14:textId="1EB9059C" w:rsidR="00DE2CF6" w:rsidRPr="00AA6635" w:rsidRDefault="00DE2CF6" w:rsidP="00AA6635">
            <w:pPr>
              <w:rPr>
                <w:sz w:val="20"/>
                <w:szCs w:val="20"/>
              </w:rPr>
            </w:pPr>
            <w:r>
              <w:rPr>
                <w:sz w:val="20"/>
                <w:szCs w:val="20"/>
              </w:rPr>
              <w:t xml:space="preserve">A2. </w:t>
            </w:r>
            <w:r w:rsidRPr="00CD1F9A">
              <w:rPr>
                <w:sz w:val="20"/>
                <w:szCs w:val="20"/>
              </w:rPr>
              <w:t>Improve measurement towards the two targets of Resolution 68</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3A49BD54" w14:textId="0FEE1283"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APCA/OOG works with ministries to</w:t>
            </w:r>
            <w:r w:rsidR="00B15F74">
              <w:rPr>
                <w:rFonts w:ascii="Calibri" w:eastAsia="Calibri" w:hAnsi="Calibri" w:cs="Calibri"/>
                <w:sz w:val="20"/>
                <w:szCs w:val="20"/>
              </w:rPr>
              <w:t xml:space="preserve">: i) </w:t>
            </w:r>
            <w:r w:rsidRPr="00AA6635">
              <w:rPr>
                <w:rFonts w:ascii="Calibri" w:eastAsia="Calibri" w:hAnsi="Calibri" w:cs="Calibri"/>
                <w:sz w:val="20"/>
                <w:szCs w:val="20"/>
              </w:rPr>
              <w:t xml:space="preserve">agree on a baseline number of regulations, with the </w:t>
            </w:r>
            <w:r w:rsidRPr="00C070D8">
              <w:rPr>
                <w:sz w:val="20"/>
                <w:szCs w:val="20"/>
              </w:rPr>
              <w:t xml:space="preserve">establish that baseline based on a selected date; </w:t>
            </w:r>
            <w:r w:rsidR="00B15F74">
              <w:rPr>
                <w:sz w:val="20"/>
                <w:szCs w:val="20"/>
              </w:rPr>
              <w:t xml:space="preserve">ii) </w:t>
            </w:r>
            <w:r w:rsidRPr="00C070D8">
              <w:rPr>
                <w:sz w:val="20"/>
                <w:szCs w:val="20"/>
              </w:rPr>
              <w:t>calculate cost saving of reformed regulations</w:t>
            </w:r>
            <w:r w:rsidR="00815E15">
              <w:rPr>
                <w:sz w:val="20"/>
                <w:szCs w:val="20"/>
              </w:rPr>
              <w:t>, prioritizing administrative procedures</w:t>
            </w:r>
            <w:r w:rsidRPr="00C070D8">
              <w:rPr>
                <w:sz w:val="20"/>
                <w:szCs w:val="20"/>
              </w:rPr>
              <w:t xml:space="preserve">; </w:t>
            </w:r>
            <w:r w:rsidR="00815E15">
              <w:rPr>
                <w:sz w:val="20"/>
                <w:szCs w:val="20"/>
              </w:rPr>
              <w:t xml:space="preserve">iii) </w:t>
            </w:r>
            <w:r w:rsidR="00D0494C">
              <w:rPr>
                <w:sz w:val="20"/>
                <w:szCs w:val="20"/>
              </w:rPr>
              <w:t xml:space="preserve">revise data collection tools to </w:t>
            </w:r>
            <w:r w:rsidRPr="00C070D8">
              <w:rPr>
                <w:sz w:val="20"/>
                <w:szCs w:val="20"/>
              </w:rPr>
              <w:t>include inform</w:t>
            </w:r>
            <w:r w:rsidR="00D0494C">
              <w:rPr>
                <w:sz w:val="20"/>
                <w:szCs w:val="20"/>
              </w:rPr>
              <w:t xml:space="preserve">ation (e.g. date of compliance cost calculation, details on amended regulations, etc.) </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39F11D67" w14:textId="7DF75861" w:rsidR="00DE2CF6" w:rsidRPr="00AA6635" w:rsidRDefault="00DE2CF6" w:rsidP="00010976">
            <w:pPr>
              <w:jc w:val="center"/>
              <w:rPr>
                <w:rFonts w:ascii="Calibri" w:eastAsia="Calibri" w:hAnsi="Calibri" w:cs="Calibri"/>
                <w:sz w:val="20"/>
                <w:szCs w:val="20"/>
              </w:rPr>
            </w:pPr>
            <w:r w:rsidRPr="00AA6635">
              <w:rPr>
                <w:rFonts w:ascii="Calibri" w:eastAsia="Calibri" w:hAnsi="Calibri" w:cs="Calibri"/>
                <w:sz w:val="20"/>
                <w:szCs w:val="20"/>
              </w:rPr>
              <w:t xml:space="preserve">APCA/OOG, Ministries, ACAPR </w:t>
            </w:r>
            <w:r w:rsidR="00082220" w:rsidRPr="00AA6635">
              <w:rPr>
                <w:rFonts w:ascii="Calibri" w:eastAsia="Calibri" w:hAnsi="Calibri" w:cs="Calibri"/>
                <w:sz w:val="20"/>
                <w:szCs w:val="20"/>
              </w:rPr>
              <w:t>members</w:t>
            </w:r>
            <w:r w:rsidR="00082220" w:rsidRPr="009436FD">
              <w:rPr>
                <w:sz w:val="20"/>
                <w:szCs w:val="20"/>
              </w:rPr>
              <w:t xml:space="preserve"> </w:t>
            </w:r>
          </w:p>
        </w:tc>
      </w:tr>
      <w:tr w:rsidR="00DE2CF6" w:rsidRPr="00DE2CF6" w14:paraId="538D8CA2"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6699B7C0" w14:textId="39960647"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lastRenderedPageBreak/>
              <w:t>Results of reform not well-communicated to the public</w:t>
            </w:r>
            <w:r w:rsidR="00040B56">
              <w:rPr>
                <w:rFonts w:ascii="Calibri" w:eastAsia="Calibri" w:hAnsi="Calibri" w:cs="Calibri"/>
                <w:sz w:val="20"/>
                <w:szCs w:val="20"/>
              </w:rPr>
              <w:t xml:space="preserve">; </w:t>
            </w:r>
            <w:r w:rsidR="00D0494C">
              <w:rPr>
                <w:rFonts w:ascii="Calibri" w:eastAsia="Calibri" w:hAnsi="Calibri" w:cs="Calibri"/>
                <w:sz w:val="20"/>
                <w:szCs w:val="20"/>
              </w:rPr>
              <w:t xml:space="preserve">perceptions of </w:t>
            </w:r>
            <w:r w:rsidR="00040B56">
              <w:rPr>
                <w:rFonts w:ascii="Calibri" w:eastAsia="Calibri" w:hAnsi="Calibri" w:cs="Calibri"/>
                <w:sz w:val="20"/>
                <w:szCs w:val="20"/>
              </w:rPr>
              <w:t>limited reform ambition</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322B2515" w14:textId="3B48D793" w:rsidR="00DE2CF6" w:rsidRPr="00AA6635" w:rsidRDefault="00DE2CF6" w:rsidP="00AA6635">
            <w:pPr>
              <w:rPr>
                <w:sz w:val="20"/>
                <w:szCs w:val="20"/>
              </w:rPr>
            </w:pPr>
            <w:r>
              <w:rPr>
                <w:sz w:val="20"/>
                <w:szCs w:val="20"/>
              </w:rPr>
              <w:t xml:space="preserve">A3. </w:t>
            </w:r>
            <w:r w:rsidRPr="00CD1F9A">
              <w:rPr>
                <w:sz w:val="20"/>
                <w:szCs w:val="20"/>
              </w:rPr>
              <w:t>Communicate and celebrate impact</w:t>
            </w:r>
            <w:r w:rsidRPr="00CD1F9A" w:rsidDel="00CD1F9A">
              <w:rPr>
                <w:sz w:val="20"/>
                <w:szCs w:val="20"/>
              </w:rPr>
              <w:t xml:space="preserve"> </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3C3A526C" w14:textId="7482EDC7" w:rsidR="00DE2CF6" w:rsidRPr="00AA6635" w:rsidRDefault="00040B56" w:rsidP="00AA6635">
            <w:pPr>
              <w:rPr>
                <w:rFonts w:ascii="Calibri" w:eastAsia="Calibri" w:hAnsi="Calibri" w:cs="Calibri"/>
                <w:sz w:val="20"/>
                <w:szCs w:val="20"/>
              </w:rPr>
            </w:pPr>
            <w:r>
              <w:rPr>
                <w:sz w:val="20"/>
                <w:szCs w:val="20"/>
              </w:rPr>
              <w:t xml:space="preserve">APCA/OOG to provide </w:t>
            </w:r>
            <w:r w:rsidR="00DE2CF6" w:rsidRPr="00306DD3">
              <w:rPr>
                <w:sz w:val="20"/>
                <w:szCs w:val="20"/>
              </w:rPr>
              <w:t xml:space="preserve">regular updates (annual or semi-annual) on the overall progress; sharing widely specific improvements in business regulations </w:t>
            </w:r>
            <w:r w:rsidR="004A614F">
              <w:rPr>
                <w:sz w:val="20"/>
                <w:szCs w:val="20"/>
              </w:rPr>
              <w:t>and their benefits</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478D121" w14:textId="33E570F5" w:rsidR="00DE2CF6" w:rsidRPr="00AA6635" w:rsidRDefault="00DE2CF6" w:rsidP="00CD1F9A">
            <w:pPr>
              <w:jc w:val="center"/>
              <w:rPr>
                <w:rFonts w:ascii="Calibri" w:eastAsia="Calibri" w:hAnsi="Calibri" w:cs="Calibri"/>
                <w:sz w:val="20"/>
                <w:szCs w:val="20"/>
              </w:rPr>
            </w:pPr>
            <w:r w:rsidRPr="00AA6635">
              <w:rPr>
                <w:rFonts w:ascii="Calibri" w:eastAsia="Calibri" w:hAnsi="Calibri" w:cs="Calibri"/>
                <w:sz w:val="20"/>
                <w:szCs w:val="20"/>
              </w:rPr>
              <w:t>APCA/OOG, Ministries, ACAPR members</w:t>
            </w:r>
          </w:p>
        </w:tc>
      </w:tr>
      <w:tr w:rsidR="004A614F" w:rsidRPr="004A614F" w14:paraId="0931D83A" w14:textId="77777777" w:rsidTr="00AA6635">
        <w:trPr>
          <w:trHeight w:val="268"/>
        </w:trPr>
        <w:tc>
          <w:tcPr>
            <w:tcW w:w="9350" w:type="dxa"/>
            <w:gridSpan w:val="4"/>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BB3E7A9" w14:textId="57353BA1" w:rsidR="004A614F" w:rsidRPr="00AA6635" w:rsidRDefault="004A614F" w:rsidP="00CD1F9A">
            <w:pPr>
              <w:jc w:val="center"/>
              <w:rPr>
                <w:rFonts w:ascii="Calibri" w:eastAsia="Calibri" w:hAnsi="Calibri" w:cs="Calibri"/>
                <w:b/>
                <w:bCs/>
                <w:sz w:val="20"/>
                <w:szCs w:val="20"/>
              </w:rPr>
            </w:pPr>
            <w:r w:rsidRPr="00AA6635">
              <w:rPr>
                <w:rFonts w:ascii="Calibri" w:eastAsia="Calibri" w:hAnsi="Calibri" w:cs="Calibri"/>
                <w:b/>
                <w:bCs/>
                <w:sz w:val="20"/>
                <w:szCs w:val="20"/>
              </w:rPr>
              <w:t>B.</w:t>
            </w:r>
            <w:r w:rsidRPr="00AA6635">
              <w:rPr>
                <w:rFonts w:ascii="Calibri" w:eastAsia="Calibri" w:hAnsi="Calibri" w:cs="Calibri"/>
                <w:b/>
                <w:bCs/>
                <w:sz w:val="20"/>
                <w:szCs w:val="20"/>
              </w:rPr>
              <w:tab/>
              <w:t>Medium-term (2025-2030) – evolve to a new paradigm in business regulations</w:t>
            </w:r>
          </w:p>
        </w:tc>
      </w:tr>
      <w:tr w:rsidR="00DE2CF6" w:rsidRPr="00DE2CF6" w14:paraId="3732E7E2"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1BFBC4A1" w14:textId="58853AFD" w:rsidR="00DE2CF6" w:rsidRPr="00AA6635" w:rsidRDefault="0030375C" w:rsidP="00AA6635">
            <w:pPr>
              <w:rPr>
                <w:rFonts w:ascii="Calibri" w:eastAsia="Calibri" w:hAnsi="Calibri" w:cs="Calibri"/>
                <w:sz w:val="20"/>
                <w:szCs w:val="20"/>
              </w:rPr>
            </w:pPr>
            <w:r>
              <w:rPr>
                <w:sz w:val="20"/>
                <w:szCs w:val="20"/>
              </w:rPr>
              <w:t>Resolution 68 targets focused on the simplification/reduction of existing regulations</w:t>
            </w:r>
            <w:r w:rsidR="00894505">
              <w:rPr>
                <w:sz w:val="20"/>
                <w:szCs w:val="20"/>
              </w:rPr>
              <w:t>,</w:t>
            </w:r>
            <w:r>
              <w:rPr>
                <w:sz w:val="20"/>
                <w:szCs w:val="20"/>
              </w:rPr>
              <w:t xml:space="preserve"> </w:t>
            </w:r>
            <w:r w:rsidR="00894505" w:rsidRPr="00894505">
              <w:rPr>
                <w:sz w:val="20"/>
                <w:szCs w:val="20"/>
              </w:rPr>
              <w:t>instead of an integrated approach towards streamlining, digitalization, and service integration centered on the experience of the firm</w:t>
            </w:r>
            <w:r w:rsidR="005D2710">
              <w:rPr>
                <w:sz w:val="20"/>
                <w:szCs w:val="20"/>
              </w:rPr>
              <w:t>.</w:t>
            </w:r>
            <w:r w:rsidR="00894505" w:rsidRPr="00894505" w:rsidDel="0030375C">
              <w:rPr>
                <w:sz w:val="20"/>
                <w:szCs w:val="20"/>
              </w:rPr>
              <w:t xml:space="preserve"> </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24B3136E" w14:textId="131AE53E" w:rsidR="00DE2CF6" w:rsidRPr="00AA6635" w:rsidRDefault="00DE2CF6" w:rsidP="00AA6635">
            <w:pPr>
              <w:rPr>
                <w:sz w:val="20"/>
                <w:szCs w:val="20"/>
              </w:rPr>
            </w:pPr>
            <w:r>
              <w:rPr>
                <w:sz w:val="20"/>
                <w:szCs w:val="20"/>
              </w:rPr>
              <w:t xml:space="preserve">B1. </w:t>
            </w:r>
            <w:r w:rsidRPr="00EA366E">
              <w:rPr>
                <w:sz w:val="20"/>
                <w:szCs w:val="20"/>
              </w:rPr>
              <w:t xml:space="preserve">Consider a more comprehensive approach in future regulatory reform strategies anchored on the digital transformation of service delivery. </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04FD2C9F" w14:textId="1D4265E2"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 xml:space="preserve">APCA/OOG </w:t>
            </w:r>
            <w:r w:rsidR="0075111C">
              <w:rPr>
                <w:rFonts w:ascii="Calibri" w:eastAsia="Calibri" w:hAnsi="Calibri" w:cs="Calibri"/>
                <w:sz w:val="20"/>
                <w:szCs w:val="20"/>
              </w:rPr>
              <w:t xml:space="preserve">to </w:t>
            </w:r>
            <w:r w:rsidRPr="00AA6635">
              <w:rPr>
                <w:rFonts w:ascii="Calibri" w:eastAsia="Calibri" w:hAnsi="Calibri" w:cs="Calibri"/>
                <w:sz w:val="20"/>
                <w:szCs w:val="20"/>
              </w:rPr>
              <w:t xml:space="preserve">work with ministries to develop a detailed </w:t>
            </w:r>
            <w:r w:rsidR="00F913DB">
              <w:rPr>
                <w:rFonts w:ascii="Calibri" w:eastAsia="Calibri" w:hAnsi="Calibri" w:cs="Calibri"/>
                <w:sz w:val="20"/>
                <w:szCs w:val="20"/>
              </w:rPr>
              <w:t xml:space="preserve">program and action </w:t>
            </w:r>
            <w:r w:rsidRPr="00AA6635">
              <w:rPr>
                <w:rFonts w:ascii="Calibri" w:eastAsia="Calibri" w:hAnsi="Calibri" w:cs="Calibri"/>
                <w:sz w:val="20"/>
                <w:szCs w:val="20"/>
              </w:rPr>
              <w:t xml:space="preserve">plan to </w:t>
            </w:r>
            <w:r w:rsidR="00453A9C">
              <w:rPr>
                <w:rFonts w:ascii="Calibri" w:eastAsia="Calibri" w:hAnsi="Calibri" w:cs="Calibri"/>
                <w:sz w:val="20"/>
                <w:szCs w:val="20"/>
              </w:rPr>
              <w:t>i</w:t>
            </w:r>
            <w:r w:rsidR="00453A9C" w:rsidRPr="00353F62">
              <w:rPr>
                <w:sz w:val="20"/>
                <w:szCs w:val="20"/>
              </w:rPr>
              <w:t xml:space="preserve">mprove the quality of the data sharing framework (government interoperability) with </w:t>
            </w:r>
            <w:r w:rsidR="00453A9C" w:rsidRPr="00353F62">
              <w:rPr>
                <w:rFonts w:ascii="Calibri" w:hAnsi="Calibri" w:cs="Calibri"/>
                <w:sz w:val="20"/>
                <w:szCs w:val="20"/>
              </w:rPr>
              <w:t>unified web-based application forms</w:t>
            </w:r>
            <w:r w:rsidR="00453A9C" w:rsidRPr="00353F62">
              <w:rPr>
                <w:sz w:val="20"/>
                <w:szCs w:val="20"/>
              </w:rPr>
              <w:t xml:space="preserve">; eliminate paper documents, and gradually minimize the submission of unstructured </w:t>
            </w:r>
            <w:r w:rsidR="00F03017">
              <w:rPr>
                <w:sz w:val="20"/>
                <w:szCs w:val="20"/>
              </w:rPr>
              <w:t>data</w:t>
            </w:r>
            <w:r w:rsidR="00453A9C">
              <w:rPr>
                <w:sz w:val="20"/>
                <w:szCs w:val="20"/>
              </w:rPr>
              <w:t>.</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7FA57213" w14:textId="55605D33" w:rsidR="00DE2CF6" w:rsidRPr="00AA6635" w:rsidRDefault="00DE2CF6" w:rsidP="00CD1F9A">
            <w:pPr>
              <w:jc w:val="center"/>
              <w:rPr>
                <w:rFonts w:ascii="Calibri" w:eastAsia="Calibri" w:hAnsi="Calibri" w:cs="Calibri"/>
                <w:sz w:val="20"/>
                <w:szCs w:val="20"/>
              </w:rPr>
            </w:pPr>
            <w:r w:rsidRPr="00AA6635">
              <w:rPr>
                <w:rFonts w:ascii="Calibri" w:eastAsia="Calibri" w:hAnsi="Calibri" w:cs="Calibri"/>
                <w:sz w:val="20"/>
                <w:szCs w:val="20"/>
              </w:rPr>
              <w:t>APCA/OOG, Ministries, IT solution providers</w:t>
            </w:r>
          </w:p>
        </w:tc>
      </w:tr>
      <w:tr w:rsidR="00DE2CF6" w:rsidRPr="00DE2CF6" w14:paraId="4BCD7D87"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0B7B19EF" w14:textId="00DEA42A" w:rsidR="00DE2CF6" w:rsidRPr="00AA6635" w:rsidRDefault="00DE2CF6" w:rsidP="00AA6635">
            <w:pPr>
              <w:rPr>
                <w:sz w:val="20"/>
                <w:szCs w:val="20"/>
              </w:rPr>
            </w:pPr>
            <w:r w:rsidRPr="00AA6635">
              <w:rPr>
                <w:sz w:val="20"/>
                <w:szCs w:val="20"/>
              </w:rPr>
              <w:t>Risk-based approach</w:t>
            </w:r>
            <w:r w:rsidR="00D466B0">
              <w:rPr>
                <w:sz w:val="20"/>
                <w:szCs w:val="20"/>
              </w:rPr>
              <w:t>es</w:t>
            </w:r>
            <w:r w:rsidRPr="00AA6635">
              <w:rPr>
                <w:sz w:val="20"/>
                <w:szCs w:val="20"/>
              </w:rPr>
              <w:t xml:space="preserve"> not yet adopted </w:t>
            </w:r>
            <w:r w:rsidR="00F03017">
              <w:rPr>
                <w:sz w:val="20"/>
                <w:szCs w:val="20"/>
              </w:rPr>
              <w:t xml:space="preserve">widely </w:t>
            </w:r>
            <w:r w:rsidRPr="00AA6635">
              <w:rPr>
                <w:sz w:val="20"/>
                <w:szCs w:val="20"/>
              </w:rPr>
              <w:t>across the government</w:t>
            </w:r>
            <w:r w:rsidR="00AF2348">
              <w:rPr>
                <w:sz w:val="20"/>
                <w:szCs w:val="20"/>
              </w:rPr>
              <w:t xml:space="preserve">; proliferation of ex-ante approvals </w:t>
            </w:r>
            <w:r w:rsidR="005D2710">
              <w:rPr>
                <w:sz w:val="20"/>
                <w:szCs w:val="20"/>
              </w:rPr>
              <w:t>and renewal requirements.</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0C9E9508" w14:textId="174B40A2" w:rsidR="00DE2CF6" w:rsidRPr="00AA6635" w:rsidRDefault="00DE2CF6" w:rsidP="00AA6635">
            <w:pPr>
              <w:rPr>
                <w:sz w:val="20"/>
                <w:szCs w:val="20"/>
              </w:rPr>
            </w:pPr>
            <w:r>
              <w:rPr>
                <w:sz w:val="20"/>
                <w:szCs w:val="20"/>
              </w:rPr>
              <w:t xml:space="preserve">B2. </w:t>
            </w:r>
            <w:r w:rsidRPr="00EA366E">
              <w:rPr>
                <w:sz w:val="20"/>
                <w:szCs w:val="20"/>
              </w:rPr>
              <w:t>Consider implementing a risk-based approach to business licensing and inspection reform.</w:t>
            </w:r>
            <w:r w:rsidRPr="00AA6635">
              <w:rPr>
                <w:sz w:val="20"/>
                <w:szCs w:val="20"/>
              </w:rPr>
              <w:t xml:space="preserve"> </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3AC81804" w14:textId="37ACE5AF"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 xml:space="preserve">GOV adopts a </w:t>
            </w:r>
            <w:r w:rsidR="005D2710">
              <w:rPr>
                <w:rFonts w:ascii="Calibri" w:eastAsia="Calibri" w:hAnsi="Calibri" w:cs="Calibri"/>
                <w:sz w:val="20"/>
                <w:szCs w:val="20"/>
              </w:rPr>
              <w:t xml:space="preserve">methodology to </w:t>
            </w:r>
            <w:r w:rsidR="00735E32">
              <w:rPr>
                <w:rFonts w:ascii="Calibri" w:eastAsia="Calibri" w:hAnsi="Calibri" w:cs="Calibri"/>
                <w:sz w:val="20"/>
                <w:szCs w:val="20"/>
              </w:rPr>
              <w:t>review and calibrate ex-ante approvals</w:t>
            </w:r>
            <w:r w:rsidR="00A2663F">
              <w:rPr>
                <w:rFonts w:ascii="Calibri" w:eastAsia="Calibri" w:hAnsi="Calibri" w:cs="Calibri"/>
                <w:sz w:val="20"/>
                <w:szCs w:val="20"/>
              </w:rPr>
              <w:t xml:space="preserve"> to conduct business activities</w:t>
            </w:r>
            <w:r w:rsidR="00735E32">
              <w:rPr>
                <w:rFonts w:ascii="Calibri" w:eastAsia="Calibri" w:hAnsi="Calibri" w:cs="Calibri"/>
                <w:sz w:val="20"/>
                <w:szCs w:val="20"/>
              </w:rPr>
              <w:t xml:space="preserve">, documentation requirements, and inspections based on the risks posed by the </w:t>
            </w:r>
            <w:r w:rsidR="00A2663F">
              <w:rPr>
                <w:rFonts w:ascii="Calibri" w:eastAsia="Calibri" w:hAnsi="Calibri" w:cs="Calibri"/>
                <w:sz w:val="20"/>
                <w:szCs w:val="20"/>
              </w:rPr>
              <w:t xml:space="preserve">activity. </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294E2F91" w14:textId="28C9DFDE" w:rsidR="00DE2CF6" w:rsidRPr="00AA6635" w:rsidRDefault="00DE2CF6" w:rsidP="00CD1F9A">
            <w:pPr>
              <w:jc w:val="center"/>
              <w:rPr>
                <w:rFonts w:ascii="Calibri" w:eastAsia="Calibri" w:hAnsi="Calibri" w:cs="Calibri"/>
                <w:sz w:val="20"/>
                <w:szCs w:val="20"/>
              </w:rPr>
            </w:pPr>
            <w:r w:rsidRPr="00AA6635">
              <w:rPr>
                <w:rFonts w:ascii="Calibri" w:eastAsia="Calibri" w:hAnsi="Calibri" w:cs="Calibri"/>
                <w:sz w:val="20"/>
                <w:szCs w:val="20"/>
              </w:rPr>
              <w:t>APCA/OOG and line ministries</w:t>
            </w:r>
          </w:p>
        </w:tc>
      </w:tr>
      <w:tr w:rsidR="00DE2CF6" w:rsidRPr="00DE2CF6" w14:paraId="2309A7AD"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15A85426" w14:textId="3CB955EF" w:rsidR="00DE2CF6" w:rsidRPr="00AA6635" w:rsidRDefault="00DE2CF6" w:rsidP="00AA6635">
            <w:pPr>
              <w:rPr>
                <w:sz w:val="20"/>
                <w:szCs w:val="20"/>
              </w:rPr>
            </w:pPr>
            <w:r w:rsidRPr="00AA6635">
              <w:rPr>
                <w:sz w:val="20"/>
                <w:szCs w:val="20"/>
              </w:rPr>
              <w:t xml:space="preserve">The list of business sectors and activities subject to conditions in the Investment Law </w:t>
            </w:r>
            <w:r w:rsidR="00A2663F">
              <w:rPr>
                <w:sz w:val="20"/>
                <w:szCs w:val="20"/>
              </w:rPr>
              <w:t>does not follow</w:t>
            </w:r>
            <w:r w:rsidRPr="00AA6635">
              <w:rPr>
                <w:sz w:val="20"/>
                <w:szCs w:val="20"/>
              </w:rPr>
              <w:t xml:space="preserve"> standard industry classification</w:t>
            </w:r>
            <w:r w:rsidR="00A2663F">
              <w:rPr>
                <w:sz w:val="20"/>
                <w:szCs w:val="20"/>
              </w:rPr>
              <w:t>.</w:t>
            </w:r>
            <w:r w:rsidRPr="00AA6635">
              <w:rPr>
                <w:sz w:val="20"/>
                <w:szCs w:val="20"/>
              </w:rPr>
              <w:t xml:space="preserve"> </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75B0FD0F" w14:textId="2D227C74" w:rsidR="00DE2CF6" w:rsidRPr="00AA6635" w:rsidRDefault="00DE2CF6" w:rsidP="00AA6635">
            <w:pPr>
              <w:rPr>
                <w:sz w:val="20"/>
                <w:szCs w:val="20"/>
              </w:rPr>
            </w:pPr>
            <w:r>
              <w:rPr>
                <w:sz w:val="20"/>
                <w:szCs w:val="20"/>
              </w:rPr>
              <w:t>B</w:t>
            </w:r>
            <w:r w:rsidRPr="00EA366E">
              <w:rPr>
                <w:sz w:val="20"/>
                <w:szCs w:val="20"/>
              </w:rPr>
              <w:t>3.</w:t>
            </w:r>
            <w:r w:rsidR="007C6C73">
              <w:rPr>
                <w:sz w:val="20"/>
                <w:szCs w:val="20"/>
              </w:rPr>
              <w:t xml:space="preserve"> </w:t>
            </w:r>
            <w:r w:rsidRPr="00EA366E">
              <w:rPr>
                <w:sz w:val="20"/>
                <w:szCs w:val="20"/>
              </w:rPr>
              <w:t xml:space="preserve">Consider clarifying the list of conditional business activities in the Investment Law. </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21E91EB0" w14:textId="04B68B58"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GOV review and revise the Annex IV of the Investment Law</w:t>
            </w:r>
            <w:r w:rsidR="0034756A">
              <w:rPr>
                <w:rFonts w:ascii="Calibri" w:eastAsia="Calibri" w:hAnsi="Calibri" w:cs="Calibri"/>
                <w:sz w:val="20"/>
                <w:szCs w:val="20"/>
              </w:rPr>
              <w:t xml:space="preserve">; </w:t>
            </w:r>
            <w:r w:rsidRPr="00DF0F09">
              <w:rPr>
                <w:sz w:val="20"/>
                <w:szCs w:val="20"/>
              </w:rPr>
              <w:t xml:space="preserve"> </w:t>
            </w:r>
            <w:r w:rsidR="0034756A">
              <w:rPr>
                <w:sz w:val="20"/>
                <w:szCs w:val="20"/>
              </w:rPr>
              <w:t>r</w:t>
            </w:r>
            <w:r w:rsidRPr="00DF0F09">
              <w:rPr>
                <w:sz w:val="20"/>
                <w:szCs w:val="20"/>
              </w:rPr>
              <w:t>eviewing, refining and classifying the list of business sectors and activities subject to conditions</w:t>
            </w:r>
            <w:r w:rsidR="00EE74AB">
              <w:rPr>
                <w:sz w:val="20"/>
                <w:szCs w:val="20"/>
              </w:rPr>
              <w:t xml:space="preserve"> using a standard industry </w:t>
            </w:r>
            <w:r w:rsidR="003C302E">
              <w:rPr>
                <w:sz w:val="20"/>
                <w:szCs w:val="20"/>
              </w:rPr>
              <w:t xml:space="preserve">classification; in the medium term consider revising the list as </w:t>
            </w:r>
            <w:r w:rsidRPr="00DF0F09">
              <w:rPr>
                <w:sz w:val="20"/>
                <w:szCs w:val="20"/>
              </w:rPr>
              <w:t>risk-based approach</w:t>
            </w:r>
            <w:r w:rsidR="003C302E">
              <w:rPr>
                <w:sz w:val="20"/>
                <w:szCs w:val="20"/>
              </w:rPr>
              <w:t>es are implemented.</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74B11B2" w14:textId="5E382D5D" w:rsidR="00DE2CF6" w:rsidRPr="00AA6635" w:rsidRDefault="00DE2CF6" w:rsidP="00CD1F9A">
            <w:pPr>
              <w:jc w:val="center"/>
              <w:rPr>
                <w:rFonts w:ascii="Calibri" w:eastAsia="Calibri" w:hAnsi="Calibri" w:cs="Calibri"/>
                <w:sz w:val="20"/>
                <w:szCs w:val="20"/>
              </w:rPr>
            </w:pPr>
            <w:r w:rsidRPr="00AA6635">
              <w:rPr>
                <w:rFonts w:ascii="Calibri" w:eastAsia="Calibri" w:hAnsi="Calibri" w:cs="Calibri"/>
                <w:sz w:val="20"/>
                <w:szCs w:val="20"/>
              </w:rPr>
              <w:t>MPI, OOG and relevant ministries with a mandate from the GOV</w:t>
            </w:r>
          </w:p>
        </w:tc>
      </w:tr>
      <w:tr w:rsidR="00DE2CF6" w:rsidRPr="00DE2CF6" w14:paraId="05824670"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5738FB05" w14:textId="54DBA056" w:rsidR="00DE2CF6" w:rsidRPr="00AA6635" w:rsidRDefault="00DE2CF6" w:rsidP="00AA6635">
            <w:pPr>
              <w:rPr>
                <w:sz w:val="20"/>
                <w:szCs w:val="20"/>
              </w:rPr>
            </w:pPr>
            <w:r w:rsidRPr="00AA6635">
              <w:rPr>
                <w:sz w:val="20"/>
                <w:szCs w:val="20"/>
              </w:rPr>
              <w:t>Lack of a common framework of principles, vocabularies, classification of regulatory instruments, and licensing-related procedures and services</w:t>
            </w:r>
            <w:r w:rsidR="006A2F5A">
              <w:rPr>
                <w:sz w:val="20"/>
                <w:szCs w:val="20"/>
              </w:rPr>
              <w:t>.</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4002CF79" w14:textId="1F0D44AF" w:rsidR="00DE2CF6" w:rsidRPr="00AA6635" w:rsidRDefault="00DE2CF6" w:rsidP="00AA6635">
            <w:pPr>
              <w:rPr>
                <w:sz w:val="20"/>
                <w:szCs w:val="20"/>
              </w:rPr>
            </w:pPr>
            <w:r>
              <w:rPr>
                <w:sz w:val="20"/>
                <w:szCs w:val="20"/>
              </w:rPr>
              <w:t xml:space="preserve">B4. </w:t>
            </w:r>
            <w:r w:rsidRPr="00EA366E">
              <w:rPr>
                <w:sz w:val="20"/>
                <w:szCs w:val="20"/>
              </w:rPr>
              <w:t xml:space="preserve">Consider introducing a horizontal legal framework for business licensing. </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46DE3AEF" w14:textId="6BB2617B"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GOV develops and adopts a legal instrument (decree or law) to have a common framework for licensing activities</w:t>
            </w:r>
            <w:r w:rsidR="006A2F5A">
              <w:rPr>
                <w:rFonts w:ascii="Calibri" w:eastAsia="Calibri" w:hAnsi="Calibri" w:cs="Calibri"/>
                <w:sz w:val="20"/>
                <w:szCs w:val="20"/>
              </w:rPr>
              <w:t>, e</w:t>
            </w:r>
            <w:r w:rsidRPr="00317D6D">
              <w:rPr>
                <w:sz w:val="20"/>
                <w:szCs w:val="20"/>
              </w:rPr>
              <w:t xml:space="preserve">ither </w:t>
            </w:r>
            <w:r w:rsidR="006A2F5A">
              <w:rPr>
                <w:sz w:val="20"/>
                <w:szCs w:val="20"/>
              </w:rPr>
              <w:t xml:space="preserve">by amending </w:t>
            </w:r>
            <w:r w:rsidRPr="00317D6D">
              <w:rPr>
                <w:sz w:val="20"/>
                <w:szCs w:val="20"/>
              </w:rPr>
              <w:t>the existing decree on the Control of Administrative Procedures (Decree No. 63/2010) or enacting a new standalone horizontal framework (e.g., a Law or a Decree) that would be binding to all regulators</w:t>
            </w:r>
            <w:r w:rsidR="006A2F5A">
              <w:rPr>
                <w:sz w:val="20"/>
                <w:szCs w:val="20"/>
              </w:rPr>
              <w:t>.</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5687C4D4" w14:textId="4C8665AF" w:rsidR="00DE2CF6" w:rsidRPr="00AA6635" w:rsidRDefault="00DE2CF6" w:rsidP="00CD1F9A">
            <w:pPr>
              <w:jc w:val="center"/>
              <w:rPr>
                <w:rFonts w:ascii="Calibri" w:eastAsia="Calibri" w:hAnsi="Calibri" w:cs="Calibri"/>
                <w:sz w:val="20"/>
                <w:szCs w:val="20"/>
              </w:rPr>
            </w:pPr>
            <w:r w:rsidRPr="00AA6635">
              <w:rPr>
                <w:rFonts w:ascii="Calibri" w:eastAsia="Calibri" w:hAnsi="Calibri" w:cs="Calibri"/>
                <w:sz w:val="20"/>
                <w:szCs w:val="20"/>
              </w:rPr>
              <w:t xml:space="preserve">OOG as a reform coordinator requests for a mandate from GOV and develops such a legal instrument </w:t>
            </w:r>
          </w:p>
        </w:tc>
      </w:tr>
      <w:tr w:rsidR="00DE2CF6" w:rsidRPr="00DE2CF6" w14:paraId="3665E95D"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0B06D943" w14:textId="5B10BF8B" w:rsidR="00DE2CF6" w:rsidRPr="00AA6635" w:rsidRDefault="00DE2CF6" w:rsidP="00AA6635">
            <w:pPr>
              <w:rPr>
                <w:sz w:val="20"/>
                <w:szCs w:val="20"/>
              </w:rPr>
            </w:pPr>
            <w:r w:rsidRPr="00AA6635">
              <w:rPr>
                <w:sz w:val="20"/>
                <w:szCs w:val="20"/>
              </w:rPr>
              <w:t xml:space="preserve">Legal framework does not yet fully support “digital-first” </w:t>
            </w:r>
            <w:r w:rsidR="00920DE1">
              <w:rPr>
                <w:sz w:val="20"/>
                <w:szCs w:val="20"/>
              </w:rPr>
              <w:t xml:space="preserve">approach </w:t>
            </w:r>
            <w:r w:rsidR="000E4A37">
              <w:rPr>
                <w:sz w:val="20"/>
                <w:szCs w:val="20"/>
              </w:rPr>
              <w:t>to</w:t>
            </w:r>
            <w:r w:rsidR="00920DE1">
              <w:rPr>
                <w:sz w:val="20"/>
                <w:szCs w:val="20"/>
              </w:rPr>
              <w:t xml:space="preserve"> incentivize the elimination of paper copies.</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392C6765" w14:textId="49AD08C0" w:rsidR="00DE2CF6" w:rsidRDefault="00DE2CF6" w:rsidP="00AA6635">
            <w:pPr>
              <w:rPr>
                <w:sz w:val="20"/>
                <w:szCs w:val="20"/>
              </w:rPr>
            </w:pPr>
            <w:r>
              <w:rPr>
                <w:sz w:val="20"/>
                <w:szCs w:val="20"/>
              </w:rPr>
              <w:t>B</w:t>
            </w:r>
            <w:r w:rsidRPr="00EA366E">
              <w:rPr>
                <w:sz w:val="20"/>
                <w:szCs w:val="20"/>
              </w:rPr>
              <w:t>5.</w:t>
            </w:r>
            <w:r w:rsidR="006A2F5A">
              <w:rPr>
                <w:sz w:val="20"/>
                <w:szCs w:val="20"/>
              </w:rPr>
              <w:t xml:space="preserve"> </w:t>
            </w:r>
            <w:r w:rsidRPr="00EA366E">
              <w:rPr>
                <w:sz w:val="20"/>
                <w:szCs w:val="20"/>
              </w:rPr>
              <w:t>Ensure the legal framework on Online Administrative Procedures and other laws and regulations on Administrative Procedures promote a digital-first and data-driven approach.</w:t>
            </w:r>
          </w:p>
          <w:p w14:paraId="20C993DE" w14:textId="586EF294" w:rsidR="00DE2CF6" w:rsidRPr="00AA6635" w:rsidRDefault="00DE2CF6" w:rsidP="00AA6635">
            <w:pPr>
              <w:rPr>
                <w:sz w:val="20"/>
                <w:szCs w:val="20"/>
              </w:rPr>
            </w:pP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703A6BC9" w14:textId="2E846284" w:rsidR="00DE2CF6" w:rsidRPr="00AA6635" w:rsidRDefault="00DE2CF6" w:rsidP="00AA6635">
            <w:pPr>
              <w:rPr>
                <w:rFonts w:ascii="Calibri" w:eastAsia="Calibri" w:hAnsi="Calibri" w:cs="Calibri"/>
                <w:sz w:val="20"/>
                <w:szCs w:val="20"/>
              </w:rPr>
            </w:pPr>
            <w:r w:rsidRPr="00AA6635">
              <w:rPr>
                <w:rFonts w:ascii="Calibri" w:eastAsia="Calibri" w:hAnsi="Calibri" w:cs="Calibri"/>
                <w:sz w:val="20"/>
                <w:szCs w:val="20"/>
              </w:rPr>
              <w:t xml:space="preserve">OOG reviews relevant legal instruments, such as Decree 45 on online administrative procedures and the Law on Electronic </w:t>
            </w:r>
            <w:r w:rsidR="00A35152" w:rsidRPr="00AA6635">
              <w:rPr>
                <w:rFonts w:ascii="Calibri" w:eastAsia="Calibri" w:hAnsi="Calibri" w:cs="Calibri"/>
                <w:sz w:val="20"/>
                <w:szCs w:val="20"/>
              </w:rPr>
              <w:t>Transaction and</w:t>
            </w:r>
            <w:r w:rsidRPr="00AA6635">
              <w:rPr>
                <w:rFonts w:ascii="Calibri" w:eastAsia="Calibri" w:hAnsi="Calibri" w:cs="Calibri"/>
                <w:sz w:val="20"/>
                <w:szCs w:val="20"/>
              </w:rPr>
              <w:t xml:space="preserve"> proposes to the GOV for revision to adopt “digital first”</w:t>
            </w:r>
            <w:r w:rsidR="000E4A37">
              <w:rPr>
                <w:rFonts w:ascii="Calibri" w:eastAsia="Calibri" w:hAnsi="Calibri" w:cs="Calibri"/>
                <w:sz w:val="20"/>
                <w:szCs w:val="20"/>
              </w:rPr>
              <w:t xml:space="preserve"> approach</w:t>
            </w:r>
            <w:r w:rsidR="00F172C2">
              <w:rPr>
                <w:rFonts w:ascii="Calibri" w:eastAsia="Calibri" w:hAnsi="Calibri" w:cs="Calibri"/>
                <w:sz w:val="20"/>
                <w:szCs w:val="20"/>
              </w:rPr>
              <w:t>, i.e. r</w:t>
            </w:r>
            <w:r w:rsidRPr="00364611">
              <w:rPr>
                <w:sz w:val="20"/>
                <w:szCs w:val="20"/>
              </w:rPr>
              <w:t xml:space="preserve">emoving </w:t>
            </w:r>
            <w:r w:rsidRPr="00364611">
              <w:rPr>
                <w:rFonts w:ascii="Calibri" w:eastAsia="Calibri" w:hAnsi="Calibri" w:cs="Calibri"/>
                <w:sz w:val="20"/>
                <w:szCs w:val="20"/>
              </w:rPr>
              <w:t xml:space="preserve">provisions that explicitly or implicitly treat paper documents as </w:t>
            </w:r>
            <w:r w:rsidRPr="00364611">
              <w:rPr>
                <w:rFonts w:ascii="Calibri" w:eastAsia="Calibri" w:hAnsi="Calibri" w:cs="Calibri"/>
                <w:sz w:val="20"/>
                <w:szCs w:val="20"/>
              </w:rPr>
              <w:lastRenderedPageBreak/>
              <w:t>having higher legal validity than online documents and data</w:t>
            </w:r>
            <w:r w:rsidR="00F172C2">
              <w:rPr>
                <w:rFonts w:ascii="Calibri" w:eastAsia="Calibri" w:hAnsi="Calibri" w:cs="Calibri"/>
                <w:sz w:val="20"/>
                <w:szCs w:val="20"/>
              </w:rPr>
              <w:t>.</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0C45EA72" w14:textId="1E72A617" w:rsidR="00DE2CF6" w:rsidRPr="00AA6635" w:rsidRDefault="00DE2CF6" w:rsidP="00CD1F9A">
            <w:pPr>
              <w:jc w:val="center"/>
              <w:rPr>
                <w:rFonts w:ascii="Calibri" w:eastAsia="Calibri" w:hAnsi="Calibri" w:cs="Calibri"/>
                <w:sz w:val="20"/>
                <w:szCs w:val="20"/>
              </w:rPr>
            </w:pPr>
            <w:r w:rsidRPr="00AA6635">
              <w:rPr>
                <w:rFonts w:ascii="Calibri" w:eastAsia="Calibri" w:hAnsi="Calibri" w:cs="Calibri"/>
                <w:sz w:val="20"/>
                <w:szCs w:val="20"/>
              </w:rPr>
              <w:lastRenderedPageBreak/>
              <w:t>OOG, MIC and relevant ministries</w:t>
            </w:r>
          </w:p>
        </w:tc>
      </w:tr>
      <w:tr w:rsidR="00DE2CF6" w:rsidRPr="00DE2CF6" w14:paraId="4FDCE4C0"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79CD1E1A" w14:textId="335D0B62" w:rsidR="00DE2CF6" w:rsidRPr="00AA6635" w:rsidRDefault="00DE2CF6" w:rsidP="00AA6635">
            <w:pPr>
              <w:rPr>
                <w:sz w:val="20"/>
                <w:szCs w:val="20"/>
              </w:rPr>
            </w:pPr>
            <w:r w:rsidRPr="00AA6635">
              <w:rPr>
                <w:sz w:val="20"/>
                <w:szCs w:val="20"/>
              </w:rPr>
              <w:t xml:space="preserve">National Database of Administrative  Procedures </w:t>
            </w:r>
            <w:r w:rsidR="00F172C2" w:rsidRPr="004D3988">
              <w:rPr>
                <w:sz w:val="20"/>
                <w:szCs w:val="20"/>
              </w:rPr>
              <w:t>(NDAP)</w:t>
            </w:r>
            <w:r w:rsidR="00F172C2">
              <w:rPr>
                <w:sz w:val="20"/>
                <w:szCs w:val="20"/>
              </w:rPr>
              <w:t xml:space="preserve"> </w:t>
            </w:r>
            <w:r w:rsidRPr="00AA6635">
              <w:rPr>
                <w:sz w:val="20"/>
                <w:szCs w:val="20"/>
              </w:rPr>
              <w:t xml:space="preserve">not yet the single source of legal validity, making it difficult ensure its legality and accuracy for users and to develop advanced IT tools for service delivery </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4D08D40A" w14:textId="138A6C7F" w:rsidR="00DE2CF6" w:rsidRPr="00AA6635" w:rsidRDefault="00DE2CF6" w:rsidP="00AA6635">
            <w:pPr>
              <w:rPr>
                <w:sz w:val="20"/>
                <w:szCs w:val="20"/>
              </w:rPr>
            </w:pPr>
            <w:r>
              <w:rPr>
                <w:sz w:val="20"/>
                <w:szCs w:val="20"/>
              </w:rPr>
              <w:t>B</w:t>
            </w:r>
            <w:r w:rsidRPr="001A53D8">
              <w:rPr>
                <w:sz w:val="20"/>
                <w:szCs w:val="20"/>
              </w:rPr>
              <w:t>6.</w:t>
            </w:r>
            <w:r w:rsidR="003C2859">
              <w:rPr>
                <w:sz w:val="20"/>
                <w:szCs w:val="20"/>
              </w:rPr>
              <w:t xml:space="preserve"> </w:t>
            </w:r>
            <w:r w:rsidRPr="001A53D8">
              <w:rPr>
                <w:sz w:val="20"/>
                <w:szCs w:val="20"/>
              </w:rPr>
              <w:t>Consider designating the National Database of Administrative Procedures (NDAP) as the single source of legal validity.</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66BB6291" w14:textId="4070F8F6" w:rsidR="00DE2CF6" w:rsidRPr="00AA6635" w:rsidRDefault="00992A1F" w:rsidP="00AA6635">
            <w:pPr>
              <w:rPr>
                <w:rFonts w:ascii="Calibri" w:eastAsia="Calibri" w:hAnsi="Calibri" w:cs="Calibri"/>
                <w:sz w:val="20"/>
                <w:szCs w:val="20"/>
              </w:rPr>
            </w:pPr>
            <w:r>
              <w:rPr>
                <w:sz w:val="20"/>
                <w:szCs w:val="20"/>
              </w:rPr>
              <w:t xml:space="preserve">Conduct a legal study </w:t>
            </w:r>
            <w:r w:rsidR="000D27D9">
              <w:rPr>
                <w:sz w:val="20"/>
                <w:szCs w:val="20"/>
              </w:rPr>
              <w:t>on r</w:t>
            </w:r>
            <w:r w:rsidR="00DE2CF6" w:rsidRPr="00AA6635">
              <w:rPr>
                <w:sz w:val="20"/>
                <w:szCs w:val="20"/>
              </w:rPr>
              <w:t>evising the Law on Laws and Decree 63 on Control of Administrative Procedures the create the legal foundation</w:t>
            </w:r>
            <w:r w:rsidR="00DE2CF6" w:rsidRPr="00F961E9">
              <w:rPr>
                <w:sz w:val="20"/>
                <w:szCs w:val="20"/>
              </w:rPr>
              <w:t xml:space="preserve"> </w:t>
            </w:r>
            <w:r w:rsidR="000D27D9">
              <w:rPr>
                <w:sz w:val="20"/>
                <w:szCs w:val="20"/>
              </w:rPr>
              <w:t xml:space="preserve">to </w:t>
            </w:r>
            <w:r w:rsidR="006E3DF6">
              <w:rPr>
                <w:sz w:val="20"/>
                <w:szCs w:val="20"/>
              </w:rPr>
              <w:t>en</w:t>
            </w:r>
            <w:r w:rsidR="00DE2CF6" w:rsidRPr="00F961E9">
              <w:rPr>
                <w:sz w:val="20"/>
                <w:szCs w:val="20"/>
              </w:rPr>
              <w:t>sure that only administrative procedures are only legally binding after they are listed in the NDSP</w:t>
            </w:r>
            <w:r w:rsidR="000D27D9">
              <w:rPr>
                <w:sz w:val="20"/>
                <w:szCs w:val="20"/>
              </w:rPr>
              <w:t xml:space="preserve">. The </w:t>
            </w:r>
            <w:r w:rsidR="006C339A">
              <w:rPr>
                <w:sz w:val="20"/>
                <w:szCs w:val="20"/>
              </w:rPr>
              <w:t>measure</w:t>
            </w:r>
            <w:r w:rsidR="000D27D9">
              <w:rPr>
                <w:sz w:val="20"/>
                <w:szCs w:val="20"/>
              </w:rPr>
              <w:t xml:space="preserve"> would require </w:t>
            </w:r>
            <w:r w:rsidR="006C339A">
              <w:rPr>
                <w:sz w:val="20"/>
                <w:szCs w:val="20"/>
              </w:rPr>
              <w:t xml:space="preserve">a transition period and proper guidance to ministries and provincial authorities. </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3DC133D6" w14:textId="26D11E1B" w:rsidR="00DE2CF6" w:rsidRPr="00AA6635" w:rsidRDefault="00DE2CF6" w:rsidP="00CD1F9A">
            <w:pPr>
              <w:jc w:val="center"/>
              <w:rPr>
                <w:rFonts w:ascii="Calibri" w:eastAsia="Calibri" w:hAnsi="Calibri" w:cs="Calibri"/>
                <w:sz w:val="20"/>
                <w:szCs w:val="20"/>
              </w:rPr>
            </w:pPr>
            <w:r w:rsidRPr="00AA6635">
              <w:rPr>
                <w:sz w:val="20"/>
                <w:szCs w:val="20"/>
              </w:rPr>
              <w:t xml:space="preserve">OOG, MOJ and relevant ministries </w:t>
            </w:r>
          </w:p>
        </w:tc>
      </w:tr>
      <w:tr w:rsidR="00DE2CF6" w:rsidRPr="00DE2CF6" w14:paraId="6E5C0A51"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7F9091FF" w14:textId="490BD161" w:rsidR="00DE2CF6" w:rsidRPr="00AA6635" w:rsidRDefault="00DE2CF6" w:rsidP="00AA6635">
            <w:pPr>
              <w:rPr>
                <w:sz w:val="20"/>
                <w:szCs w:val="20"/>
              </w:rPr>
            </w:pPr>
            <w:r w:rsidRPr="00AA6635">
              <w:rPr>
                <w:sz w:val="20"/>
                <w:szCs w:val="20"/>
              </w:rPr>
              <w:t xml:space="preserve">NDAP not always accurate </w:t>
            </w:r>
            <w:r w:rsidR="006F75F8">
              <w:rPr>
                <w:sz w:val="20"/>
                <w:szCs w:val="20"/>
              </w:rPr>
              <w:t xml:space="preserve">as it depends on manual </w:t>
            </w:r>
            <w:r w:rsidR="00EA567A">
              <w:rPr>
                <w:sz w:val="20"/>
                <w:szCs w:val="20"/>
              </w:rPr>
              <w:t xml:space="preserve">updates by the government agencies owning the specific procedure. </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683DD4A0" w14:textId="219DC585" w:rsidR="00DE2CF6" w:rsidRPr="00AA6635" w:rsidRDefault="00DE2CF6" w:rsidP="00AA6635">
            <w:pPr>
              <w:rPr>
                <w:sz w:val="20"/>
                <w:szCs w:val="20"/>
              </w:rPr>
            </w:pPr>
            <w:r>
              <w:rPr>
                <w:sz w:val="20"/>
                <w:szCs w:val="20"/>
              </w:rPr>
              <w:t>B</w:t>
            </w:r>
            <w:r w:rsidRPr="001A53D8">
              <w:rPr>
                <w:sz w:val="20"/>
                <w:szCs w:val="20"/>
              </w:rPr>
              <w:t>7.</w:t>
            </w:r>
            <w:r w:rsidR="006C339A">
              <w:rPr>
                <w:sz w:val="20"/>
                <w:szCs w:val="20"/>
              </w:rPr>
              <w:t xml:space="preserve"> </w:t>
            </w:r>
            <w:r w:rsidRPr="001A53D8">
              <w:rPr>
                <w:sz w:val="20"/>
                <w:szCs w:val="20"/>
              </w:rPr>
              <w:t>Improve the accuracy and currency of the information on the regulations and procedures of the NDAP</w:t>
            </w:r>
            <w:r w:rsidR="00B1393A">
              <w:rPr>
                <w:sz w:val="20"/>
                <w:szCs w:val="20"/>
              </w:rPr>
              <w:t xml:space="preserve"> by: i) i</w:t>
            </w:r>
            <w:r w:rsidRPr="00AA6635">
              <w:rPr>
                <w:sz w:val="20"/>
                <w:szCs w:val="20"/>
              </w:rPr>
              <w:t>mplement</w:t>
            </w:r>
            <w:r w:rsidR="00B1393A">
              <w:rPr>
                <w:sz w:val="20"/>
                <w:szCs w:val="20"/>
              </w:rPr>
              <w:t>ing</w:t>
            </w:r>
            <w:r w:rsidRPr="00AA6635">
              <w:rPr>
                <w:sz w:val="20"/>
                <w:szCs w:val="20"/>
              </w:rPr>
              <w:t xml:space="preserve"> a notification-based mechanism to monitor for updates to administrative procedures; </w:t>
            </w:r>
            <w:r w:rsidR="00B1393A">
              <w:rPr>
                <w:sz w:val="20"/>
                <w:szCs w:val="20"/>
              </w:rPr>
              <w:t>ii) u</w:t>
            </w:r>
            <w:r w:rsidRPr="00AA6635">
              <w:rPr>
                <w:sz w:val="20"/>
                <w:szCs w:val="20"/>
              </w:rPr>
              <w:t xml:space="preserve">pgrade the data of administrative procedures to a structured format; </w:t>
            </w:r>
            <w:r w:rsidR="00B1393A">
              <w:rPr>
                <w:sz w:val="20"/>
                <w:szCs w:val="20"/>
              </w:rPr>
              <w:t>iii) d</w:t>
            </w:r>
            <w:r w:rsidRPr="00AA6635">
              <w:rPr>
                <w:sz w:val="20"/>
                <w:szCs w:val="20"/>
              </w:rPr>
              <w:t>evelop business-friendly content standards for information published on the NPSP</w:t>
            </w:r>
            <w:r w:rsidR="00B1393A">
              <w:rPr>
                <w:sz w:val="20"/>
                <w:szCs w:val="20"/>
              </w:rPr>
              <w:t>.</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2712FB08" w14:textId="3CAF31AB" w:rsidR="00DE2CF6" w:rsidRPr="00AA6635" w:rsidRDefault="00DE2CF6" w:rsidP="00AA6635">
            <w:pPr>
              <w:rPr>
                <w:sz w:val="20"/>
                <w:szCs w:val="20"/>
              </w:rPr>
            </w:pPr>
            <w:r w:rsidRPr="00AA6635">
              <w:rPr>
                <w:sz w:val="20"/>
                <w:szCs w:val="20"/>
              </w:rPr>
              <w:t>APCA/OOG to Develop IT tools to keep track of new legal instruments issuing APs and send notification to relevant authorities to require updates to NDAP; Revise Decrees 63 and 45</w:t>
            </w:r>
            <w:r w:rsidR="00B75F6B">
              <w:rPr>
                <w:sz w:val="20"/>
                <w:szCs w:val="20"/>
              </w:rPr>
              <w:t xml:space="preserve"> </w:t>
            </w:r>
            <w:r w:rsidRPr="00AA6635">
              <w:rPr>
                <w:sz w:val="20"/>
                <w:szCs w:val="20"/>
              </w:rPr>
              <w:t xml:space="preserve">to apply </w:t>
            </w:r>
            <w:r w:rsidRPr="00AA6635">
              <w:rPr>
                <w:rFonts w:ascii="Calibri" w:eastAsia="Calibri" w:hAnsi="Calibri" w:cs="Calibri"/>
                <w:sz w:val="20"/>
                <w:szCs w:val="20"/>
              </w:rPr>
              <w:t xml:space="preserve">structured and standardized data format, such as </w:t>
            </w:r>
            <w:r w:rsidRPr="00AA6635">
              <w:rPr>
                <w:rFonts w:ascii="Calibri" w:eastAsia="Calibri" w:hAnsi="Calibri" w:cs="Calibri"/>
                <w:i/>
                <w:iCs/>
                <w:sz w:val="20"/>
                <w:szCs w:val="20"/>
              </w:rPr>
              <w:t>LegalDocML</w:t>
            </w:r>
            <w:r w:rsidRPr="00AA6635">
              <w:rPr>
                <w:sz w:val="20"/>
                <w:szCs w:val="20"/>
              </w:rPr>
              <w:t xml:space="preserve"> format to the APs listed in NDAP; provide guidelines for content and formatting standards to ensure that the information is concise, transparent, easily accessible, and communicated in clear and plain language</w:t>
            </w:r>
            <w:r w:rsidR="00FC660D">
              <w:rPr>
                <w:sz w:val="20"/>
                <w:szCs w:val="20"/>
              </w:rPr>
              <w:t>.</w:t>
            </w:r>
            <w:r w:rsidRPr="00AA6635">
              <w:rPr>
                <w:sz w:val="20"/>
                <w:szCs w:val="20"/>
              </w:rPr>
              <w:t xml:space="preserve"> </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1E3533E1" w14:textId="2B5BF906" w:rsidR="00DE2CF6" w:rsidRPr="00AA6635" w:rsidRDefault="00DE2CF6" w:rsidP="00CD1F9A">
            <w:pPr>
              <w:jc w:val="center"/>
              <w:rPr>
                <w:sz w:val="20"/>
                <w:szCs w:val="20"/>
              </w:rPr>
            </w:pPr>
            <w:r w:rsidRPr="00AA6635">
              <w:rPr>
                <w:sz w:val="20"/>
                <w:szCs w:val="20"/>
              </w:rPr>
              <w:t>APCA/OOG and line ministries</w:t>
            </w:r>
          </w:p>
        </w:tc>
      </w:tr>
      <w:tr w:rsidR="00DE2CF6" w:rsidRPr="00DE2CF6" w14:paraId="7A3733B9"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1AE19807" w14:textId="7D5E6EA9" w:rsidR="00DE2CF6" w:rsidRPr="00AA6635" w:rsidRDefault="00DE2CF6" w:rsidP="00AA6635">
            <w:pPr>
              <w:rPr>
                <w:sz w:val="20"/>
                <w:szCs w:val="20"/>
              </w:rPr>
            </w:pPr>
            <w:r w:rsidRPr="00AA6635">
              <w:rPr>
                <w:sz w:val="20"/>
                <w:szCs w:val="20"/>
              </w:rPr>
              <w:t>OSS model is based on co-located services, but they are not integrated</w:t>
            </w:r>
            <w:r w:rsidR="00B1393A">
              <w:rPr>
                <w:sz w:val="20"/>
                <w:szCs w:val="20"/>
              </w:rPr>
              <w:t>.</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0AD18094" w14:textId="5F0B7001" w:rsidR="00DE2CF6" w:rsidRDefault="00DE2CF6" w:rsidP="00AA6635">
            <w:pPr>
              <w:rPr>
                <w:sz w:val="20"/>
                <w:szCs w:val="20"/>
              </w:rPr>
            </w:pPr>
            <w:r>
              <w:rPr>
                <w:sz w:val="20"/>
                <w:szCs w:val="20"/>
              </w:rPr>
              <w:t xml:space="preserve">B8. </w:t>
            </w:r>
            <w:r w:rsidRPr="00AA6635">
              <w:rPr>
                <w:sz w:val="20"/>
                <w:szCs w:val="20"/>
              </w:rPr>
              <w:t>Transform the current one-roof OSS service delivery model to an integrated single window model</w:t>
            </w:r>
            <w:r w:rsidR="00B1393A">
              <w:rPr>
                <w:sz w:val="20"/>
                <w:szCs w:val="20"/>
              </w:rPr>
              <w:t>.</w:t>
            </w:r>
          </w:p>
          <w:p w14:paraId="5B91FEE9" w14:textId="156F1551" w:rsidR="00DE2CF6" w:rsidRPr="00AA6635" w:rsidRDefault="00DE2CF6" w:rsidP="00AA6635">
            <w:pPr>
              <w:rPr>
                <w:sz w:val="20"/>
                <w:szCs w:val="20"/>
              </w:rPr>
            </w:pP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0AED1D98" w14:textId="0C0B8896" w:rsidR="00DE2CF6" w:rsidRPr="00AA6635" w:rsidRDefault="00DE2CF6" w:rsidP="00AA6635">
            <w:pPr>
              <w:rPr>
                <w:sz w:val="20"/>
                <w:szCs w:val="20"/>
              </w:rPr>
            </w:pPr>
            <w:r w:rsidRPr="00AA6635">
              <w:rPr>
                <w:sz w:val="20"/>
                <w:szCs w:val="20"/>
              </w:rPr>
              <w:t>Revise the Decree 61 on OSS and integrated OSS services to strengthen service integration; provide guidance for delivery of integrated services with single point of contact for many, if not all, services</w:t>
            </w:r>
            <w:r w:rsidR="00881728">
              <w:rPr>
                <w:sz w:val="20"/>
                <w:szCs w:val="20"/>
              </w:rPr>
              <w:t xml:space="preserve">. Gradual implementation as </w:t>
            </w:r>
            <w:r w:rsidR="0014671A">
              <w:rPr>
                <w:sz w:val="20"/>
                <w:szCs w:val="20"/>
              </w:rPr>
              <w:t>it requires improvements in data sharing and use of structured documents, and reorganization of front- and back-offices.</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459507BE" w14:textId="1A974022" w:rsidR="00DE2CF6" w:rsidRPr="00AA6635" w:rsidRDefault="00DE2CF6" w:rsidP="00CD1F9A">
            <w:pPr>
              <w:jc w:val="center"/>
              <w:rPr>
                <w:sz w:val="20"/>
                <w:szCs w:val="20"/>
              </w:rPr>
            </w:pPr>
            <w:r w:rsidRPr="00AA6635">
              <w:rPr>
                <w:sz w:val="20"/>
                <w:szCs w:val="20"/>
              </w:rPr>
              <w:t>OOG, line ministries and provincial authorities</w:t>
            </w:r>
          </w:p>
        </w:tc>
      </w:tr>
      <w:tr w:rsidR="00DE2CF6" w:rsidRPr="00DE2CF6" w14:paraId="00299C39"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418B5DD3" w14:textId="15201E87" w:rsidR="00DE2CF6" w:rsidRPr="00AA6635" w:rsidRDefault="0095183C" w:rsidP="00AA6635">
            <w:pPr>
              <w:rPr>
                <w:sz w:val="20"/>
                <w:szCs w:val="20"/>
              </w:rPr>
            </w:pPr>
            <w:r>
              <w:rPr>
                <w:sz w:val="20"/>
                <w:szCs w:val="20"/>
              </w:rPr>
              <w:t xml:space="preserve">Improving regulatory delivery by </w:t>
            </w:r>
            <w:r w:rsidR="00093732">
              <w:rPr>
                <w:sz w:val="20"/>
                <w:szCs w:val="20"/>
              </w:rPr>
              <w:t>expanding integrated digital services requires</w:t>
            </w:r>
            <w:r w:rsidR="003E7AEB">
              <w:rPr>
                <w:sz w:val="20"/>
                <w:szCs w:val="20"/>
              </w:rPr>
              <w:t xml:space="preserve"> strong</w:t>
            </w:r>
            <w:r w:rsidR="00093732">
              <w:rPr>
                <w:sz w:val="20"/>
                <w:szCs w:val="20"/>
              </w:rPr>
              <w:t xml:space="preserve"> oversigh</w:t>
            </w:r>
            <w:r w:rsidR="003E7AEB">
              <w:rPr>
                <w:sz w:val="20"/>
                <w:szCs w:val="20"/>
              </w:rPr>
              <w:t>t</w:t>
            </w:r>
            <w:r w:rsidR="00093732">
              <w:rPr>
                <w:sz w:val="20"/>
                <w:szCs w:val="20"/>
              </w:rPr>
              <w:t xml:space="preserve"> and coordination beyond </w:t>
            </w:r>
            <w:r w:rsidR="00DE2CF6" w:rsidRPr="00AA6635">
              <w:rPr>
                <w:sz w:val="20"/>
                <w:szCs w:val="20"/>
              </w:rPr>
              <w:t>APCA</w:t>
            </w:r>
            <w:r w:rsidR="000B2352">
              <w:rPr>
                <w:sz w:val="20"/>
                <w:szCs w:val="20"/>
              </w:rPr>
              <w:t xml:space="preserve">’s </w:t>
            </w:r>
            <w:r w:rsidR="003E7AEB">
              <w:rPr>
                <w:sz w:val="20"/>
                <w:szCs w:val="20"/>
              </w:rPr>
              <w:t xml:space="preserve"> existing mandate and capacity.</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1A9B2FF6" w14:textId="07D72358" w:rsidR="00DE2CF6" w:rsidRPr="00AA6635" w:rsidRDefault="00DE2CF6" w:rsidP="00AA6635">
            <w:pPr>
              <w:rPr>
                <w:sz w:val="20"/>
                <w:szCs w:val="20"/>
              </w:rPr>
            </w:pPr>
            <w:r>
              <w:rPr>
                <w:sz w:val="20"/>
                <w:szCs w:val="20"/>
              </w:rPr>
              <w:t>B</w:t>
            </w:r>
            <w:r w:rsidRPr="001A53D8">
              <w:rPr>
                <w:sz w:val="20"/>
                <w:szCs w:val="20"/>
              </w:rPr>
              <w:t>9.</w:t>
            </w:r>
            <w:r w:rsidRPr="001A53D8">
              <w:rPr>
                <w:sz w:val="20"/>
                <w:szCs w:val="20"/>
              </w:rPr>
              <w:tab/>
              <w:t>Consider strengthening and expanding APCA’s mandate to provide adequate oversight and coordination in regulatory delivery.</w:t>
            </w: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4E8BAEB5" w14:textId="001CC1AF" w:rsidR="00DE2CF6" w:rsidRPr="00AA6635" w:rsidRDefault="00DE2CF6" w:rsidP="00AA6635">
            <w:pPr>
              <w:rPr>
                <w:sz w:val="20"/>
                <w:szCs w:val="20"/>
              </w:rPr>
            </w:pPr>
            <w:r w:rsidRPr="00AA6635">
              <w:rPr>
                <w:sz w:val="20"/>
                <w:szCs w:val="20"/>
              </w:rPr>
              <w:t>Revise the Law on Laws, Decree 63, Decree 61, and other relevant legal documents to give APCA a stronger authority</w:t>
            </w:r>
            <w:r w:rsidR="00CD5039">
              <w:rPr>
                <w:sz w:val="20"/>
                <w:szCs w:val="20"/>
              </w:rPr>
              <w:t xml:space="preserve"> and resources</w:t>
            </w:r>
            <w:r w:rsidRPr="00AA6635">
              <w:rPr>
                <w:sz w:val="20"/>
                <w:szCs w:val="20"/>
              </w:rPr>
              <w:t xml:space="preserve"> to push and coordinate reforms</w:t>
            </w:r>
            <w:r w:rsidR="00CD5039">
              <w:rPr>
                <w:sz w:val="20"/>
                <w:szCs w:val="20"/>
              </w:rPr>
              <w:t>.</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5FBA3463" w14:textId="6CFD1F24" w:rsidR="00DE2CF6" w:rsidRPr="00AA6635" w:rsidRDefault="00DE2CF6" w:rsidP="00CD1F9A">
            <w:pPr>
              <w:jc w:val="center"/>
              <w:rPr>
                <w:sz w:val="20"/>
                <w:szCs w:val="20"/>
              </w:rPr>
            </w:pPr>
            <w:r w:rsidRPr="00AA6635">
              <w:rPr>
                <w:sz w:val="20"/>
                <w:szCs w:val="20"/>
              </w:rPr>
              <w:t>GOV, OOG and line ministries</w:t>
            </w:r>
          </w:p>
        </w:tc>
      </w:tr>
      <w:tr w:rsidR="00DE2CF6" w:rsidRPr="00DE2CF6" w14:paraId="30CAD574" w14:textId="77777777" w:rsidTr="00AA6635">
        <w:trPr>
          <w:trHeight w:val="510"/>
        </w:trPr>
        <w:tc>
          <w:tcPr>
            <w:tcW w:w="2076" w:type="dxa"/>
            <w:tcBorders>
              <w:top w:val="single" w:sz="8" w:space="0" w:color="auto"/>
              <w:left w:val="single" w:sz="8" w:space="0" w:color="auto"/>
              <w:bottom w:val="single" w:sz="8" w:space="0" w:color="auto"/>
              <w:right w:val="single" w:sz="8" w:space="0" w:color="auto"/>
            </w:tcBorders>
            <w:tcMar>
              <w:left w:w="108" w:type="dxa"/>
              <w:right w:w="108" w:type="dxa"/>
            </w:tcMar>
          </w:tcPr>
          <w:p w14:paraId="1A2B1634" w14:textId="62CAC4FF" w:rsidR="00DE2CF6" w:rsidRPr="00AA6635" w:rsidRDefault="00DE2CF6" w:rsidP="00AA6635">
            <w:pPr>
              <w:rPr>
                <w:sz w:val="20"/>
                <w:szCs w:val="20"/>
              </w:rPr>
            </w:pPr>
            <w:r w:rsidRPr="00AA6635">
              <w:rPr>
                <w:sz w:val="20"/>
                <w:szCs w:val="20"/>
              </w:rPr>
              <w:t xml:space="preserve">Key Performance Indicators do not cover important performance areas such as the extent of </w:t>
            </w:r>
            <w:r w:rsidRPr="00AA6635">
              <w:rPr>
                <w:sz w:val="20"/>
                <w:szCs w:val="20"/>
              </w:rPr>
              <w:lastRenderedPageBreak/>
              <w:t>end-to-end services; unclear definitions such as “digitalized APs</w:t>
            </w:r>
            <w:r w:rsidR="003F2720">
              <w:rPr>
                <w:sz w:val="20"/>
                <w:szCs w:val="20"/>
              </w:rPr>
              <w:t>.</w:t>
            </w:r>
            <w:r w:rsidRPr="00AA6635">
              <w:rPr>
                <w:sz w:val="20"/>
                <w:szCs w:val="20"/>
              </w:rPr>
              <w:t>”</w:t>
            </w:r>
          </w:p>
        </w:tc>
        <w:tc>
          <w:tcPr>
            <w:tcW w:w="2684" w:type="dxa"/>
            <w:tcBorders>
              <w:top w:val="single" w:sz="8" w:space="0" w:color="auto"/>
              <w:left w:val="single" w:sz="8" w:space="0" w:color="auto"/>
              <w:bottom w:val="single" w:sz="8" w:space="0" w:color="auto"/>
              <w:right w:val="single" w:sz="8" w:space="0" w:color="auto"/>
            </w:tcBorders>
            <w:tcMar>
              <w:left w:w="108" w:type="dxa"/>
              <w:right w:w="108" w:type="dxa"/>
            </w:tcMar>
          </w:tcPr>
          <w:p w14:paraId="4459BE5D" w14:textId="7C6082BD" w:rsidR="00DE2CF6" w:rsidRDefault="00DE2CF6" w:rsidP="00AA6635">
            <w:pPr>
              <w:rPr>
                <w:sz w:val="20"/>
                <w:szCs w:val="20"/>
              </w:rPr>
            </w:pPr>
            <w:r>
              <w:rPr>
                <w:sz w:val="20"/>
                <w:szCs w:val="20"/>
              </w:rPr>
              <w:lastRenderedPageBreak/>
              <w:t>B</w:t>
            </w:r>
            <w:r w:rsidRPr="001A53D8">
              <w:rPr>
                <w:sz w:val="20"/>
                <w:szCs w:val="20"/>
              </w:rPr>
              <w:t>10.</w:t>
            </w:r>
            <w:r w:rsidR="003F2720">
              <w:rPr>
                <w:sz w:val="20"/>
                <w:szCs w:val="20"/>
              </w:rPr>
              <w:t xml:space="preserve"> </w:t>
            </w:r>
            <w:r w:rsidRPr="001A53D8">
              <w:rPr>
                <w:sz w:val="20"/>
                <w:szCs w:val="20"/>
              </w:rPr>
              <w:t>Consider strengthening the Key Performance Indicators for regulatory delivery.</w:t>
            </w:r>
          </w:p>
          <w:p w14:paraId="01FF8DFB" w14:textId="073B9A03" w:rsidR="00DE2CF6" w:rsidRPr="00AA6635" w:rsidRDefault="00DE2CF6" w:rsidP="00AA6635">
            <w:pPr>
              <w:rPr>
                <w:sz w:val="20"/>
                <w:szCs w:val="20"/>
              </w:rPr>
            </w:pPr>
          </w:p>
        </w:tc>
        <w:tc>
          <w:tcPr>
            <w:tcW w:w="3330" w:type="dxa"/>
            <w:tcBorders>
              <w:top w:val="single" w:sz="8" w:space="0" w:color="auto"/>
              <w:left w:val="single" w:sz="8" w:space="0" w:color="auto"/>
              <w:bottom w:val="single" w:sz="8" w:space="0" w:color="auto"/>
              <w:right w:val="single" w:sz="8" w:space="0" w:color="auto"/>
            </w:tcBorders>
            <w:tcMar>
              <w:left w:w="108" w:type="dxa"/>
              <w:right w:w="108" w:type="dxa"/>
            </w:tcMar>
          </w:tcPr>
          <w:p w14:paraId="43F6756E" w14:textId="149007EF" w:rsidR="00DE2CF6" w:rsidRPr="00AA6635" w:rsidRDefault="00D569A8" w:rsidP="00AA6635">
            <w:pPr>
              <w:rPr>
                <w:sz w:val="20"/>
                <w:szCs w:val="20"/>
              </w:rPr>
            </w:pPr>
            <w:r w:rsidRPr="003D53BF">
              <w:rPr>
                <w:sz w:val="20"/>
                <w:szCs w:val="20"/>
              </w:rPr>
              <w:t>Revise the Decision 766, Decree 45 on online APs and related legal documents</w:t>
            </w:r>
            <w:r w:rsidRPr="00DA3F78">
              <w:rPr>
                <w:sz w:val="20"/>
                <w:szCs w:val="20"/>
              </w:rPr>
              <w:t xml:space="preserve"> </w:t>
            </w:r>
            <w:r>
              <w:rPr>
                <w:sz w:val="20"/>
                <w:szCs w:val="20"/>
              </w:rPr>
              <w:t>on the</w:t>
            </w:r>
            <w:r w:rsidR="00DE2CF6" w:rsidRPr="00DA3F78">
              <w:rPr>
                <w:sz w:val="20"/>
                <w:szCs w:val="20"/>
              </w:rPr>
              <w:t xml:space="preserve"> KPIs to measure the extent of end-to-end, contactless services, ability to share and reuse </w:t>
            </w:r>
            <w:r w:rsidR="00DE2CF6" w:rsidRPr="00DA3F78">
              <w:rPr>
                <w:sz w:val="20"/>
                <w:szCs w:val="20"/>
              </w:rPr>
              <w:lastRenderedPageBreak/>
              <w:t>structured data provided by citizens and businesses</w:t>
            </w:r>
            <w:r>
              <w:rPr>
                <w:sz w:val="20"/>
                <w:szCs w:val="20"/>
              </w:rPr>
              <w:t>.</w:t>
            </w:r>
          </w:p>
        </w:tc>
        <w:tc>
          <w:tcPr>
            <w:tcW w:w="1260" w:type="dxa"/>
            <w:tcBorders>
              <w:top w:val="single" w:sz="8" w:space="0" w:color="auto"/>
              <w:left w:val="single" w:sz="8" w:space="0" w:color="auto"/>
              <w:bottom w:val="single" w:sz="8" w:space="0" w:color="auto"/>
              <w:right w:val="single" w:sz="8" w:space="0" w:color="auto"/>
            </w:tcBorders>
            <w:tcMar>
              <w:left w:w="108" w:type="dxa"/>
              <w:right w:w="108" w:type="dxa"/>
            </w:tcMar>
          </w:tcPr>
          <w:p w14:paraId="6103CCFC" w14:textId="0F415A2F" w:rsidR="00DE2CF6" w:rsidRPr="00AA6635" w:rsidRDefault="00DE2CF6" w:rsidP="00CD1F9A">
            <w:pPr>
              <w:jc w:val="center"/>
              <w:rPr>
                <w:sz w:val="20"/>
                <w:szCs w:val="20"/>
              </w:rPr>
            </w:pPr>
            <w:r w:rsidRPr="00AA6635">
              <w:rPr>
                <w:sz w:val="20"/>
                <w:szCs w:val="20"/>
              </w:rPr>
              <w:lastRenderedPageBreak/>
              <w:t>APCA/OOG and line ministries</w:t>
            </w:r>
          </w:p>
        </w:tc>
      </w:tr>
    </w:tbl>
    <w:p w14:paraId="7A362E7A" w14:textId="4338B4EC" w:rsidR="00AD0915" w:rsidRPr="00C51336" w:rsidRDefault="00AD0915" w:rsidP="00AD0915">
      <w:pPr>
        <w:pStyle w:val="Body"/>
      </w:pPr>
      <w:r w:rsidRPr="00C51336">
        <w:t xml:space="preserve"> </w:t>
      </w:r>
    </w:p>
    <w:p w14:paraId="73DFF047" w14:textId="7111B7E5" w:rsidR="00907DC4" w:rsidRPr="007B67F8" w:rsidRDefault="00907DC4">
      <w:pPr>
        <w:rPr>
          <w:i/>
        </w:rPr>
      </w:pPr>
      <w:r w:rsidRPr="007B67F8">
        <w:rPr>
          <w:i/>
        </w:rPr>
        <w:br w:type="page"/>
      </w:r>
    </w:p>
    <w:p w14:paraId="7EF2CF49" w14:textId="6004AEBC" w:rsidR="001554A0" w:rsidRPr="007B67F8" w:rsidRDefault="001554A0" w:rsidP="00907DC4">
      <w:pPr>
        <w:pStyle w:val="Heading1"/>
        <w:numPr>
          <w:ilvl w:val="0"/>
          <w:numId w:val="0"/>
        </w:numPr>
      </w:pPr>
      <w:bookmarkStart w:id="42" w:name="_Toc175228089"/>
      <w:r w:rsidRPr="007B67F8">
        <w:lastRenderedPageBreak/>
        <w:t>R</w:t>
      </w:r>
      <w:r w:rsidR="00D32836">
        <w:t>eferences</w:t>
      </w:r>
      <w:bookmarkEnd w:id="42"/>
    </w:p>
    <w:p w14:paraId="3F191B20" w14:textId="77777777" w:rsidR="00FD696A" w:rsidRPr="007B67F8" w:rsidRDefault="00FD696A" w:rsidP="00916DCF">
      <w:pPr>
        <w:autoSpaceDE w:val="0"/>
        <w:autoSpaceDN w:val="0"/>
        <w:adjustRightInd w:val="0"/>
        <w:spacing w:after="120" w:line="240" w:lineRule="auto"/>
        <w:rPr>
          <w:rFonts w:cstheme="minorHAnsi"/>
          <w:color w:val="222222"/>
          <w:shd w:val="clear" w:color="auto" w:fill="FFFFFF"/>
        </w:rPr>
      </w:pPr>
    </w:p>
    <w:p w14:paraId="05DFBFCE" w14:textId="7CA54920" w:rsidR="007311E2" w:rsidRPr="00AA6635" w:rsidRDefault="0081012D" w:rsidP="00916DCF">
      <w:pPr>
        <w:autoSpaceDE w:val="0"/>
        <w:autoSpaceDN w:val="0"/>
        <w:adjustRightInd w:val="0"/>
        <w:spacing w:after="120" w:line="240" w:lineRule="auto"/>
        <w:rPr>
          <w:lang w:val="es-ES"/>
        </w:rPr>
      </w:pPr>
      <w:r w:rsidRPr="007B67F8">
        <w:rPr>
          <w:rFonts w:cstheme="minorHAnsi"/>
          <w:color w:val="222222"/>
          <w:shd w:val="clear" w:color="auto" w:fill="FFFFFF"/>
        </w:rPr>
        <w:t xml:space="preserve">ASEAN. </w:t>
      </w:r>
      <w:r w:rsidR="00B51999">
        <w:rPr>
          <w:rFonts w:cstheme="minorHAnsi"/>
          <w:color w:val="222222"/>
          <w:shd w:val="clear" w:color="auto" w:fill="FFFFFF"/>
        </w:rPr>
        <w:t>2022</w:t>
      </w:r>
      <w:r>
        <w:rPr>
          <w:rFonts w:cstheme="minorHAnsi"/>
          <w:color w:val="222222"/>
          <w:shd w:val="clear" w:color="auto" w:fill="FFFFFF"/>
        </w:rPr>
        <w:t xml:space="preserve">. </w:t>
      </w:r>
      <w:r w:rsidR="00B51999" w:rsidRPr="0064533A">
        <w:rPr>
          <w:i/>
          <w:iCs/>
        </w:rPr>
        <w:t>ASEAN Handbook on Good Regulatory Practice</w:t>
      </w:r>
      <w:r>
        <w:t xml:space="preserve">. </w:t>
      </w:r>
      <w:r w:rsidR="00EC5A99" w:rsidRPr="00AA6635">
        <w:rPr>
          <w:lang w:val="es-ES"/>
        </w:rPr>
        <w:t>Jakarta.</w:t>
      </w:r>
    </w:p>
    <w:p w14:paraId="6D62ABCF" w14:textId="7430D76B" w:rsidR="001A3DF4" w:rsidRPr="008C5536" w:rsidRDefault="001A3DF4" w:rsidP="00916DCF">
      <w:pPr>
        <w:autoSpaceDE w:val="0"/>
        <w:autoSpaceDN w:val="0"/>
        <w:adjustRightInd w:val="0"/>
        <w:spacing w:after="120" w:line="240" w:lineRule="auto"/>
        <w:rPr>
          <w:rFonts w:cstheme="minorHAnsi"/>
          <w:color w:val="222222"/>
          <w:shd w:val="clear" w:color="auto" w:fill="FFFFFF"/>
        </w:rPr>
      </w:pPr>
      <w:r w:rsidRPr="00AA6635">
        <w:rPr>
          <w:lang w:val="es-ES"/>
        </w:rPr>
        <w:t xml:space="preserve">Aghion, P., Bergeaud, A., &amp; Van Reenen, J. 2023. </w:t>
      </w:r>
      <w:r w:rsidR="008C5536">
        <w:t xml:space="preserve">The Impact of Regulation on Innovation. </w:t>
      </w:r>
      <w:r w:rsidR="008C5536">
        <w:rPr>
          <w:i/>
          <w:iCs/>
        </w:rPr>
        <w:t xml:space="preserve">American Economic Review, </w:t>
      </w:r>
      <w:r w:rsidR="00676267">
        <w:t xml:space="preserve">113(11), 2894-2936. </w:t>
      </w:r>
    </w:p>
    <w:p w14:paraId="42575283" w14:textId="3C4A34FE" w:rsidR="00F96D23" w:rsidRPr="00916DCF" w:rsidRDefault="00F96D23" w:rsidP="00916DCF">
      <w:pPr>
        <w:autoSpaceDE w:val="0"/>
        <w:autoSpaceDN w:val="0"/>
        <w:adjustRightInd w:val="0"/>
        <w:spacing w:after="120" w:line="240" w:lineRule="auto"/>
        <w:rPr>
          <w:rFonts w:cstheme="minorHAnsi"/>
          <w:color w:val="222222"/>
          <w:shd w:val="clear" w:color="auto" w:fill="FFFFFF"/>
        </w:rPr>
      </w:pPr>
      <w:r w:rsidRPr="00400767">
        <w:rPr>
          <w:rFonts w:cstheme="minorHAnsi"/>
          <w:color w:val="222222"/>
          <w:shd w:val="clear" w:color="auto" w:fill="FFFFFF"/>
        </w:rPr>
        <w:t xml:space="preserve">Bailey, J. B., &amp; Thomas, D. W. 2017. </w:t>
      </w:r>
      <w:r w:rsidRPr="00916DCF">
        <w:rPr>
          <w:rFonts w:cstheme="minorHAnsi"/>
          <w:color w:val="222222"/>
          <w:shd w:val="clear" w:color="auto" w:fill="FFFFFF"/>
        </w:rPr>
        <w:t xml:space="preserve">Regulating away competition: The effect of regulation on entrepreneurship and employment. </w:t>
      </w:r>
      <w:r w:rsidRPr="00916DCF">
        <w:rPr>
          <w:rFonts w:cstheme="minorHAnsi"/>
          <w:i/>
          <w:color w:val="222222"/>
          <w:shd w:val="clear" w:color="auto" w:fill="FFFFFF"/>
        </w:rPr>
        <w:t>Journal of Regulatory Economics</w:t>
      </w:r>
      <w:r w:rsidRPr="00916DCF">
        <w:rPr>
          <w:rFonts w:cstheme="minorHAnsi"/>
          <w:color w:val="222222"/>
          <w:shd w:val="clear" w:color="auto" w:fill="FFFFFF"/>
        </w:rPr>
        <w:t>, 52(3), 237–254.</w:t>
      </w:r>
    </w:p>
    <w:p w14:paraId="2B053F5C" w14:textId="77777777" w:rsidR="00F96D23" w:rsidRPr="00F96D23" w:rsidRDefault="00F96D23" w:rsidP="00916DCF">
      <w:pPr>
        <w:spacing w:after="120"/>
        <w:rPr>
          <w:rFonts w:cstheme="minorHAnsi"/>
        </w:rPr>
      </w:pPr>
      <w:r w:rsidRPr="00F96D23">
        <w:rPr>
          <w:rFonts w:cstheme="minorHAnsi"/>
        </w:rPr>
        <w:t>Bruhn, Miriam. 2012. “A Tale of Two Species: Revisiting the Effect of Registration Reform on Informal Business Owners in Mexico.” Journal of Development Economics 103-1.</w:t>
      </w:r>
    </w:p>
    <w:p w14:paraId="6A1F6F51" w14:textId="43CBE0E8" w:rsidR="00BA48D0" w:rsidRPr="000A033C" w:rsidRDefault="00BA48D0" w:rsidP="00916DCF">
      <w:pPr>
        <w:autoSpaceDE w:val="0"/>
        <w:autoSpaceDN w:val="0"/>
        <w:adjustRightInd w:val="0"/>
        <w:spacing w:after="120" w:line="240" w:lineRule="auto"/>
        <w:rPr>
          <w:rFonts w:cstheme="minorHAnsi"/>
          <w:color w:val="222222"/>
          <w:shd w:val="clear" w:color="auto" w:fill="FFFFFF"/>
        </w:rPr>
      </w:pPr>
      <w:r w:rsidRPr="000A033C">
        <w:rPr>
          <w:rFonts w:cstheme="minorHAnsi"/>
          <w:color w:val="222222"/>
          <w:shd w:val="clear" w:color="auto" w:fill="FFFFFF"/>
        </w:rPr>
        <w:t>Cirera, X</w:t>
      </w:r>
      <w:r w:rsidR="00ED510D" w:rsidRPr="000A033C">
        <w:rPr>
          <w:rFonts w:cstheme="minorHAnsi"/>
          <w:color w:val="222222"/>
          <w:shd w:val="clear" w:color="auto" w:fill="FFFFFF"/>
        </w:rPr>
        <w:t>avier</w:t>
      </w:r>
      <w:r w:rsidRPr="000A033C">
        <w:rPr>
          <w:rFonts w:cstheme="minorHAnsi"/>
          <w:color w:val="222222"/>
          <w:shd w:val="clear" w:color="auto" w:fill="FFFFFF"/>
        </w:rPr>
        <w:t>,</w:t>
      </w:r>
      <w:r w:rsidR="00ED510D" w:rsidRPr="000A033C">
        <w:rPr>
          <w:rFonts w:cstheme="minorHAnsi"/>
          <w:color w:val="222222"/>
          <w:shd w:val="clear" w:color="auto" w:fill="FFFFFF"/>
        </w:rPr>
        <w:t xml:space="preserve"> Diego Comin, Marcio Cruz, Kyun Ming Lee,</w:t>
      </w:r>
      <w:r w:rsidRPr="000A033C">
        <w:rPr>
          <w:rFonts w:cstheme="minorHAnsi"/>
          <w:color w:val="222222"/>
          <w:shd w:val="clear" w:color="auto" w:fill="FFFFFF"/>
        </w:rPr>
        <w:t xml:space="preserve"> </w:t>
      </w:r>
      <w:r w:rsidR="00400767">
        <w:rPr>
          <w:rFonts w:cstheme="minorHAnsi"/>
          <w:color w:val="222222"/>
          <w:shd w:val="clear" w:color="auto" w:fill="FFFFFF"/>
        </w:rPr>
        <w:t xml:space="preserve">and </w:t>
      </w:r>
      <w:r w:rsidR="0071131F" w:rsidRPr="00400767">
        <w:rPr>
          <w:rFonts w:cstheme="minorHAnsi"/>
          <w:color w:val="222222"/>
          <w:shd w:val="clear" w:color="auto" w:fill="FFFFFF"/>
        </w:rPr>
        <w:t>Antonio Soares Martins-Neto. “</w:t>
      </w:r>
      <w:r w:rsidR="000A033C" w:rsidRPr="00400767">
        <w:rPr>
          <w:rFonts w:cstheme="minorHAnsi"/>
          <w:color w:val="222222"/>
          <w:shd w:val="clear" w:color="auto" w:fill="FFFFFF"/>
        </w:rPr>
        <w:t>Firm Level Technology Adoption in Vietnam.”</w:t>
      </w:r>
      <w:r w:rsidR="000A033C">
        <w:rPr>
          <w:rFonts w:cstheme="minorHAnsi"/>
          <w:color w:val="222222"/>
          <w:shd w:val="clear" w:color="auto" w:fill="FFFFFF"/>
        </w:rPr>
        <w:t xml:space="preserve"> </w:t>
      </w:r>
      <w:r w:rsidR="00183E22">
        <w:rPr>
          <w:rFonts w:cstheme="minorHAnsi"/>
          <w:color w:val="222222"/>
          <w:shd w:val="clear" w:color="auto" w:fill="FFFFFF"/>
        </w:rPr>
        <w:t xml:space="preserve">World Bank </w:t>
      </w:r>
      <w:r w:rsidR="00183E22" w:rsidRPr="00183E22">
        <w:rPr>
          <w:rFonts w:cstheme="minorHAnsi"/>
          <w:color w:val="222222"/>
          <w:shd w:val="clear" w:color="auto" w:fill="FFFFFF"/>
        </w:rPr>
        <w:t>Policy Research Working Paper 9567</w:t>
      </w:r>
      <w:r w:rsidR="00183E22">
        <w:rPr>
          <w:rFonts w:cstheme="minorHAnsi"/>
          <w:color w:val="222222"/>
          <w:shd w:val="clear" w:color="auto" w:fill="FFFFFF"/>
        </w:rPr>
        <w:t>. Washington D.C.</w:t>
      </w:r>
    </w:p>
    <w:p w14:paraId="035C891D" w14:textId="22B3E330" w:rsidR="00F96D23" w:rsidRPr="00916DCF" w:rsidRDefault="00F96D23" w:rsidP="00916DCF">
      <w:pPr>
        <w:autoSpaceDE w:val="0"/>
        <w:autoSpaceDN w:val="0"/>
        <w:adjustRightInd w:val="0"/>
        <w:spacing w:after="120" w:line="240" w:lineRule="auto"/>
        <w:rPr>
          <w:rFonts w:cstheme="minorHAnsi"/>
          <w:color w:val="222222"/>
          <w:shd w:val="clear" w:color="auto" w:fill="FFFFFF"/>
        </w:rPr>
      </w:pPr>
      <w:r w:rsidRPr="00916DCF">
        <w:rPr>
          <w:rFonts w:cstheme="minorHAnsi"/>
          <w:color w:val="222222"/>
          <w:shd w:val="clear" w:color="auto" w:fill="FFFFFF"/>
        </w:rPr>
        <w:t>Cirera, X., Cruz, M., Davies, E., Grover, A., Iacovone, L., Cordova, J.E.L., Medvedev, D., Maduko, F.O., Nayyar, G., Reyes Ortega, S. and Torres, J., 2021. Policies to support businesses through the COVID-19 shock: A firm level perspective. </w:t>
      </w:r>
      <w:r w:rsidRPr="00916DCF">
        <w:rPr>
          <w:rFonts w:cstheme="minorHAnsi"/>
          <w:i/>
          <w:color w:val="222222"/>
          <w:shd w:val="clear" w:color="auto" w:fill="FFFFFF"/>
        </w:rPr>
        <w:t>The World Bank Research Observer</w:t>
      </w:r>
      <w:r w:rsidRPr="00916DCF">
        <w:rPr>
          <w:rFonts w:cstheme="minorHAnsi"/>
          <w:color w:val="222222"/>
          <w:shd w:val="clear" w:color="auto" w:fill="FFFFFF"/>
        </w:rPr>
        <w:t>, </w:t>
      </w:r>
      <w:r w:rsidRPr="00916DCF">
        <w:rPr>
          <w:rFonts w:cstheme="minorHAnsi"/>
          <w:i/>
          <w:color w:val="222222"/>
          <w:shd w:val="clear" w:color="auto" w:fill="FFFFFF"/>
        </w:rPr>
        <w:t>36</w:t>
      </w:r>
      <w:r w:rsidRPr="00916DCF">
        <w:rPr>
          <w:rFonts w:cstheme="minorHAnsi"/>
          <w:color w:val="222222"/>
          <w:shd w:val="clear" w:color="auto" w:fill="FFFFFF"/>
        </w:rPr>
        <w:t>(1), pp.41-66.</w:t>
      </w:r>
    </w:p>
    <w:p w14:paraId="3A7EB28C" w14:textId="4B42628E" w:rsidR="003003C9" w:rsidRDefault="003003C9" w:rsidP="00F22A72">
      <w:r w:rsidRPr="005026D1">
        <w:rPr>
          <w:rFonts w:cstheme="minorHAnsi"/>
        </w:rPr>
        <w:t xml:space="preserve">European Commission - Directorate-General for Communications Networks. 2022. Content and Technology, eGovernment Benchmark, Synchronizing digital governments: </w:t>
      </w:r>
      <w:r>
        <w:rPr>
          <w:rFonts w:cstheme="minorHAnsi"/>
        </w:rPr>
        <w:t>I</w:t>
      </w:r>
      <w:r w:rsidRPr="005026D1">
        <w:rPr>
          <w:rFonts w:cstheme="minorHAnsi"/>
        </w:rPr>
        <w:t xml:space="preserve">nsight </w:t>
      </w:r>
      <w:r>
        <w:rPr>
          <w:rFonts w:cstheme="minorHAnsi"/>
        </w:rPr>
        <w:t>R</w:t>
      </w:r>
      <w:r w:rsidRPr="005026D1">
        <w:rPr>
          <w:rFonts w:cstheme="minorHAnsi"/>
        </w:rPr>
        <w:t>eport, Publications Office of the European Union.</w:t>
      </w:r>
    </w:p>
    <w:p w14:paraId="6BF27982" w14:textId="6198B5AE" w:rsidR="00F22A72" w:rsidRPr="00B85888" w:rsidRDefault="00F22A72" w:rsidP="00F22A72">
      <w:r w:rsidRPr="00B85888">
        <w:t xml:space="preserve">Foster, L., </w:t>
      </w:r>
      <w:r>
        <w:t xml:space="preserve">J. C. </w:t>
      </w:r>
      <w:r w:rsidRPr="00B85888">
        <w:t xml:space="preserve">Haltiwanger, </w:t>
      </w:r>
      <w:r>
        <w:t>and C. J.</w:t>
      </w:r>
      <w:r w:rsidRPr="00B85888">
        <w:t xml:space="preserve"> Krizan. 2001. </w:t>
      </w:r>
      <w:r>
        <w:t>“</w:t>
      </w:r>
      <w:r w:rsidRPr="00B85888">
        <w:t>Aggregate Productivity Growth: Lessons from Microeconomic Evidence.</w:t>
      </w:r>
      <w:r>
        <w:t>”</w:t>
      </w:r>
      <w:r w:rsidRPr="00B85888">
        <w:t xml:space="preserve"> In </w:t>
      </w:r>
      <w:r w:rsidRPr="001C2487">
        <w:rPr>
          <w:i/>
          <w:iCs/>
        </w:rPr>
        <w:t>New Developments in Productivity Analysis</w:t>
      </w:r>
      <w:r>
        <w:t>, edited by C. R. Hulten, E. R. Dean, and M. J. Harper,</w:t>
      </w:r>
      <w:r w:rsidRPr="00B85888">
        <w:t xml:space="preserve"> 303</w:t>
      </w:r>
      <w:r>
        <w:t>–</w:t>
      </w:r>
      <w:r w:rsidRPr="00B85888">
        <w:t xml:space="preserve">72. </w:t>
      </w:r>
      <w:r>
        <w:t xml:space="preserve">Chicago, IL: </w:t>
      </w:r>
      <w:r w:rsidRPr="00B85888">
        <w:t>University of Chicago Press.</w:t>
      </w:r>
    </w:p>
    <w:p w14:paraId="1B1951A2" w14:textId="0ECC199B" w:rsidR="00C60F3F" w:rsidRDefault="00C60F3F" w:rsidP="00916DCF">
      <w:pPr>
        <w:autoSpaceDE w:val="0"/>
        <w:autoSpaceDN w:val="0"/>
        <w:adjustRightInd w:val="0"/>
        <w:spacing w:after="120" w:line="240" w:lineRule="auto"/>
        <w:rPr>
          <w:rFonts w:cstheme="minorHAnsi"/>
          <w:color w:val="222222"/>
          <w:shd w:val="clear" w:color="auto" w:fill="FFFFFF"/>
        </w:rPr>
      </w:pPr>
      <w:r w:rsidRPr="00C60F3F">
        <w:rPr>
          <w:rFonts w:cstheme="minorHAnsi"/>
          <w:color w:val="222222"/>
          <w:shd w:val="clear" w:color="auto" w:fill="FFFFFF"/>
        </w:rPr>
        <w:t>Graham</w:t>
      </w:r>
      <w:r>
        <w:rPr>
          <w:rFonts w:cstheme="minorHAnsi"/>
          <w:color w:val="222222"/>
          <w:shd w:val="clear" w:color="auto" w:fill="FFFFFF"/>
        </w:rPr>
        <w:t>,</w:t>
      </w:r>
      <w:r w:rsidRPr="00C60F3F">
        <w:rPr>
          <w:rFonts w:cstheme="minorHAnsi"/>
          <w:color w:val="222222"/>
          <w:shd w:val="clear" w:color="auto" w:fill="FFFFFF"/>
        </w:rPr>
        <w:t xml:space="preserve"> Russell</w:t>
      </w:r>
      <w:r>
        <w:rPr>
          <w:rFonts w:cstheme="minorHAnsi"/>
          <w:color w:val="222222"/>
          <w:shd w:val="clear" w:color="auto" w:fill="FFFFFF"/>
        </w:rPr>
        <w:t xml:space="preserve"> and</w:t>
      </w:r>
      <w:r w:rsidRPr="00C60F3F">
        <w:rPr>
          <w:rFonts w:cstheme="minorHAnsi"/>
          <w:color w:val="222222"/>
          <w:shd w:val="clear" w:color="auto" w:fill="FFFFFF"/>
        </w:rPr>
        <w:t xml:space="preserve"> Christopher Hodges. 2019. </w:t>
      </w:r>
      <w:r w:rsidRPr="001D176C">
        <w:rPr>
          <w:rFonts w:cstheme="minorHAnsi"/>
          <w:i/>
          <w:iCs/>
          <w:color w:val="222222"/>
          <w:shd w:val="clear" w:color="auto" w:fill="FFFFFF"/>
        </w:rPr>
        <w:t>Regulatory Delivery (Civil Justice Systems)</w:t>
      </w:r>
      <w:r w:rsidRPr="00C60F3F">
        <w:rPr>
          <w:rFonts w:cstheme="minorHAnsi"/>
          <w:color w:val="222222"/>
          <w:shd w:val="clear" w:color="auto" w:fill="FFFFFF"/>
        </w:rPr>
        <w:t>. Hart/Beck, London</w:t>
      </w:r>
      <w:r>
        <w:rPr>
          <w:rFonts w:cstheme="minorHAnsi"/>
          <w:color w:val="222222"/>
          <w:shd w:val="clear" w:color="auto" w:fill="FFFFFF"/>
        </w:rPr>
        <w:t>.</w:t>
      </w:r>
    </w:p>
    <w:p w14:paraId="1004C51A" w14:textId="2ADA7DD0" w:rsidR="00F96D23" w:rsidRPr="00916DCF" w:rsidRDefault="00F96D23" w:rsidP="00916DCF">
      <w:pPr>
        <w:autoSpaceDE w:val="0"/>
        <w:autoSpaceDN w:val="0"/>
        <w:adjustRightInd w:val="0"/>
        <w:spacing w:after="120" w:line="240" w:lineRule="auto"/>
        <w:rPr>
          <w:rFonts w:cstheme="minorHAnsi"/>
          <w:color w:val="222222"/>
          <w:shd w:val="clear" w:color="auto" w:fill="FFFFFF"/>
        </w:rPr>
      </w:pPr>
      <w:r w:rsidRPr="00916DCF">
        <w:rPr>
          <w:rFonts w:cstheme="minorHAnsi"/>
          <w:color w:val="222222"/>
          <w:shd w:val="clear" w:color="auto" w:fill="FFFFFF"/>
        </w:rPr>
        <w:t>Haidar, J.I., 2012. The impact of business regulatory reforms on economic growth. </w:t>
      </w:r>
      <w:r w:rsidRPr="00916DCF">
        <w:rPr>
          <w:rFonts w:cstheme="minorHAnsi"/>
          <w:i/>
          <w:color w:val="222222"/>
          <w:shd w:val="clear" w:color="auto" w:fill="FFFFFF"/>
        </w:rPr>
        <w:t>Journal of the Japanese and international economies</w:t>
      </w:r>
      <w:r w:rsidRPr="00916DCF">
        <w:rPr>
          <w:rFonts w:cstheme="minorHAnsi"/>
          <w:color w:val="222222"/>
          <w:shd w:val="clear" w:color="auto" w:fill="FFFFFF"/>
        </w:rPr>
        <w:t>, </w:t>
      </w:r>
      <w:r w:rsidRPr="00916DCF">
        <w:rPr>
          <w:rFonts w:cstheme="minorHAnsi"/>
          <w:i/>
          <w:color w:val="222222"/>
          <w:shd w:val="clear" w:color="auto" w:fill="FFFFFF"/>
        </w:rPr>
        <w:t>26</w:t>
      </w:r>
      <w:r w:rsidRPr="00916DCF">
        <w:rPr>
          <w:rFonts w:cstheme="minorHAnsi"/>
          <w:color w:val="222222"/>
          <w:shd w:val="clear" w:color="auto" w:fill="FFFFFF"/>
        </w:rPr>
        <w:t>(3), pp.285-307.</w:t>
      </w:r>
    </w:p>
    <w:p w14:paraId="3EBABA07" w14:textId="72A709B3" w:rsidR="000C2D15" w:rsidRDefault="000C2D15" w:rsidP="00F96D23">
      <w:pPr>
        <w:spacing w:after="120"/>
        <w:rPr>
          <w:rFonts w:cstheme="minorHAnsi"/>
        </w:rPr>
      </w:pPr>
      <w:r w:rsidRPr="000C2D15">
        <w:rPr>
          <w:rFonts w:cstheme="minorHAnsi"/>
        </w:rPr>
        <w:t xml:space="preserve">Hallward-Driemeier, M. and Pritchett, L., 2015. How business is done in the developing world: Deals versus rules. </w:t>
      </w:r>
      <w:r w:rsidRPr="00916DCF">
        <w:rPr>
          <w:rFonts w:cstheme="minorHAnsi"/>
          <w:i/>
        </w:rPr>
        <w:t>Journal of economic perspectives</w:t>
      </w:r>
      <w:r w:rsidRPr="000C2D15">
        <w:rPr>
          <w:rFonts w:cstheme="minorHAnsi"/>
        </w:rPr>
        <w:t>, 29(3), pp.121-140.</w:t>
      </w:r>
    </w:p>
    <w:p w14:paraId="51BEBD2D" w14:textId="77777777" w:rsidR="000121D1" w:rsidRDefault="000138C3" w:rsidP="00916DCF">
      <w:pPr>
        <w:spacing w:after="120"/>
        <w:rPr>
          <w:rFonts w:cstheme="minorHAnsi"/>
        </w:rPr>
      </w:pPr>
      <w:r>
        <w:rPr>
          <w:rFonts w:cstheme="minorHAnsi"/>
        </w:rPr>
        <w:t xml:space="preserve">IFC. 2021. </w:t>
      </w:r>
      <w:r w:rsidRPr="00400767">
        <w:rPr>
          <w:rFonts w:cstheme="minorHAnsi"/>
          <w:i/>
          <w:iCs/>
        </w:rPr>
        <w:t xml:space="preserve">Creating Markets in Viet Nam. </w:t>
      </w:r>
      <w:r w:rsidR="000121D1" w:rsidRPr="00400767">
        <w:rPr>
          <w:rFonts w:cstheme="minorHAnsi"/>
          <w:i/>
          <w:iCs/>
        </w:rPr>
        <w:t>Bolstering the Private Sector during COVID-19 and Beyond: Relief, Restructuring, and Resilient Recovery</w:t>
      </w:r>
      <w:r w:rsidR="000121D1">
        <w:rPr>
          <w:rFonts w:cstheme="minorHAnsi"/>
        </w:rPr>
        <w:t>. Washington, D.C.</w:t>
      </w:r>
    </w:p>
    <w:p w14:paraId="220A2654" w14:textId="53AA9263" w:rsidR="00F96D23" w:rsidRPr="00F96D23" w:rsidRDefault="00F96D23" w:rsidP="00916DCF">
      <w:pPr>
        <w:spacing w:after="120"/>
        <w:rPr>
          <w:rFonts w:cstheme="minorHAnsi"/>
        </w:rPr>
      </w:pPr>
      <w:r w:rsidRPr="00F96D23">
        <w:rPr>
          <w:rFonts w:cstheme="minorHAnsi"/>
        </w:rPr>
        <w:t>Klapper, Leora, Anat Lewin and Juan Manuel Quesada Delgado. 2009. "The Impact of the Business Environment on the Business Creation Process." Policy Research Working Paper 4937, World Bank, Washington, D</w:t>
      </w:r>
      <w:r w:rsidR="00526246">
        <w:rPr>
          <w:rFonts w:cstheme="minorHAnsi"/>
        </w:rPr>
        <w:t>.</w:t>
      </w:r>
      <w:r w:rsidRPr="00F96D23">
        <w:rPr>
          <w:rFonts w:cstheme="minorHAnsi"/>
        </w:rPr>
        <w:t>C.</w:t>
      </w:r>
    </w:p>
    <w:p w14:paraId="7A6D1A9C" w14:textId="7F84717D" w:rsidR="00F96D23" w:rsidRPr="00F96D23" w:rsidRDefault="00F96D23" w:rsidP="00916DCF">
      <w:pPr>
        <w:spacing w:after="120"/>
        <w:rPr>
          <w:rFonts w:cstheme="minorHAnsi"/>
        </w:rPr>
      </w:pPr>
      <w:r w:rsidRPr="00F96D23">
        <w:rPr>
          <w:rFonts w:cstheme="minorHAnsi"/>
        </w:rPr>
        <w:t>Klapper, L</w:t>
      </w:r>
      <w:r w:rsidR="00A22693">
        <w:rPr>
          <w:rFonts w:cstheme="minorHAnsi"/>
        </w:rPr>
        <w:t>.</w:t>
      </w:r>
      <w:r w:rsidRPr="00F96D23">
        <w:rPr>
          <w:rFonts w:cstheme="minorHAnsi"/>
        </w:rPr>
        <w:t xml:space="preserve"> and Love</w:t>
      </w:r>
      <w:r w:rsidR="00907584">
        <w:rPr>
          <w:rFonts w:cstheme="minorHAnsi"/>
        </w:rPr>
        <w:t>, I</w:t>
      </w:r>
      <w:r w:rsidRPr="00F96D23">
        <w:rPr>
          <w:rFonts w:cstheme="minorHAnsi"/>
        </w:rPr>
        <w:t>. 2011. “The Impact of Business Environment Reforms on New Firm Registration.” Policy Research Working Paper 5493, World Bank, Washington, D</w:t>
      </w:r>
      <w:r w:rsidR="00526246">
        <w:rPr>
          <w:rFonts w:cstheme="minorHAnsi"/>
        </w:rPr>
        <w:t>.</w:t>
      </w:r>
      <w:r w:rsidRPr="00F96D23">
        <w:rPr>
          <w:rFonts w:cstheme="minorHAnsi"/>
        </w:rPr>
        <w:t>C</w:t>
      </w:r>
      <w:r w:rsidR="00526246">
        <w:rPr>
          <w:rFonts w:cstheme="minorHAnsi"/>
        </w:rPr>
        <w:t>.</w:t>
      </w:r>
    </w:p>
    <w:p w14:paraId="679FA0BE" w14:textId="36E0C5E5" w:rsidR="00166528" w:rsidRDefault="00166528" w:rsidP="00A73656">
      <w:r>
        <w:t>Ladegaard, P</w:t>
      </w:r>
      <w:r w:rsidR="00907584">
        <w:t>.</w:t>
      </w:r>
      <w:r w:rsidR="00D667FE">
        <w:t>,</w:t>
      </w:r>
      <w:r w:rsidR="006353A6">
        <w:t xml:space="preserve"> Lundkvist,</w:t>
      </w:r>
      <w:r w:rsidR="00D667FE">
        <w:t xml:space="preserve"> P.</w:t>
      </w:r>
      <w:r w:rsidR="006353A6">
        <w:t xml:space="preserve"> and Kamkhadji</w:t>
      </w:r>
      <w:r w:rsidR="00D667FE">
        <w:t>, J</w:t>
      </w:r>
      <w:r w:rsidR="006353A6">
        <w:t>. 2018</w:t>
      </w:r>
      <w:r w:rsidR="00A73656">
        <w:t>. “Giving Sisyphus a Helping Hand</w:t>
      </w:r>
      <w:r w:rsidR="006B64B2">
        <w:t>:</w:t>
      </w:r>
      <w:r w:rsidR="00A73656">
        <w:t xml:space="preserve"> Pathways for Sustainable RIA Systems in Developing Countries.” </w:t>
      </w:r>
      <w:r w:rsidR="00F46C86">
        <w:t xml:space="preserve">World Bank </w:t>
      </w:r>
      <w:r w:rsidR="00F46C86" w:rsidRPr="00F46C86">
        <w:t>Policy Research Working Paper 8367</w:t>
      </w:r>
      <w:r w:rsidR="00F46C86">
        <w:t>.</w:t>
      </w:r>
    </w:p>
    <w:p w14:paraId="757711BA" w14:textId="28A1F0CD" w:rsidR="006B4A4A" w:rsidRDefault="006B4A4A" w:rsidP="001A2A1B">
      <w:r w:rsidRPr="00B73709">
        <w:t>Loayza, N., and L. Servén. 2010. Business Regulation and Economic Performance. Washington, D</w:t>
      </w:r>
      <w:r>
        <w:t>.</w:t>
      </w:r>
      <w:r w:rsidRPr="00B73709">
        <w:t>C.</w:t>
      </w:r>
    </w:p>
    <w:p w14:paraId="56F12A54" w14:textId="6DF89B9F" w:rsidR="001A2A1B" w:rsidRPr="00B85888" w:rsidRDefault="001A2A1B" w:rsidP="001A2A1B">
      <w:r w:rsidRPr="00B85888">
        <w:lastRenderedPageBreak/>
        <w:t xml:space="preserve">Melitz, M. J., </w:t>
      </w:r>
      <w:r>
        <w:t>and S.</w:t>
      </w:r>
      <w:r w:rsidRPr="00B85888">
        <w:t xml:space="preserve"> Polanec. 2015. </w:t>
      </w:r>
      <w:r>
        <w:t>“</w:t>
      </w:r>
      <w:r w:rsidRPr="00B85888">
        <w:t>Dynamic Olley‐Pakes Productivity Decomposition with Entry and Exit.</w:t>
      </w:r>
      <w:r>
        <w:t>”</w:t>
      </w:r>
      <w:r w:rsidRPr="00B85888">
        <w:t xml:space="preserve"> </w:t>
      </w:r>
      <w:r w:rsidRPr="001C2487">
        <w:rPr>
          <w:i/>
          <w:iCs/>
        </w:rPr>
        <w:t>Rand Journal of Economics</w:t>
      </w:r>
      <w:r w:rsidRPr="00B85888">
        <w:t xml:space="preserve"> 46</w:t>
      </w:r>
      <w:r>
        <w:t xml:space="preserve"> </w:t>
      </w:r>
      <w:r w:rsidRPr="00B85888">
        <w:t>(2)</w:t>
      </w:r>
      <w:r>
        <w:t>:</w:t>
      </w:r>
      <w:r w:rsidRPr="00B85888">
        <w:t xml:space="preserve"> 362</w:t>
      </w:r>
      <w:r>
        <w:t>–</w:t>
      </w:r>
      <w:r w:rsidRPr="00B85888">
        <w:t>75.</w:t>
      </w:r>
    </w:p>
    <w:p w14:paraId="1673D980" w14:textId="7FEFB374" w:rsidR="003D5E1C" w:rsidRDefault="003D5E1C" w:rsidP="006E4736">
      <w:pPr>
        <w:autoSpaceDE w:val="0"/>
        <w:autoSpaceDN w:val="0"/>
        <w:adjustRightInd w:val="0"/>
        <w:spacing w:after="120" w:line="240" w:lineRule="auto"/>
        <w:rPr>
          <w:rFonts w:cstheme="minorHAnsi"/>
          <w:color w:val="222222"/>
          <w:shd w:val="clear" w:color="auto" w:fill="FFFFFF"/>
        </w:rPr>
      </w:pPr>
      <w:r>
        <w:rPr>
          <w:rFonts w:cstheme="minorHAnsi"/>
          <w:color w:val="222222"/>
          <w:shd w:val="clear" w:color="auto" w:fill="FFFFFF"/>
        </w:rPr>
        <w:t xml:space="preserve">Molfetas, Aris, and Lars Grava. 2020. </w:t>
      </w:r>
      <w:r w:rsidR="006E4736" w:rsidRPr="0064533A">
        <w:rPr>
          <w:rFonts w:cstheme="minorHAnsi"/>
          <w:i/>
          <w:iCs/>
          <w:color w:val="222222"/>
          <w:shd w:val="clear" w:color="auto" w:fill="FFFFFF"/>
        </w:rPr>
        <w:t xml:space="preserve">Risk-Based Approaches to Business Regulation. </w:t>
      </w:r>
      <w:r w:rsidR="00934BDA" w:rsidRPr="0064533A">
        <w:rPr>
          <w:rFonts w:cstheme="minorHAnsi"/>
          <w:i/>
          <w:iCs/>
          <w:color w:val="222222"/>
          <w:shd w:val="clear" w:color="auto" w:fill="FFFFFF"/>
        </w:rPr>
        <w:t>A Note for Reformers.</w:t>
      </w:r>
      <w:r w:rsidR="00934BDA">
        <w:rPr>
          <w:rFonts w:cstheme="minorHAnsi"/>
          <w:color w:val="222222"/>
          <w:shd w:val="clear" w:color="auto" w:fill="FFFFFF"/>
        </w:rPr>
        <w:t xml:space="preserve"> In Focus</w:t>
      </w:r>
      <w:r w:rsidR="001864A1">
        <w:rPr>
          <w:rFonts w:cstheme="minorHAnsi"/>
          <w:color w:val="222222"/>
          <w:shd w:val="clear" w:color="auto" w:fill="FFFFFF"/>
        </w:rPr>
        <w:t xml:space="preserve">. Finance Competitiveness and Innovation – Investment Climate. World Bank: Washington, D.C. </w:t>
      </w:r>
    </w:p>
    <w:p w14:paraId="46A2D86B" w14:textId="31148BF1" w:rsidR="00F96D23" w:rsidRPr="00916DCF" w:rsidRDefault="1F45E5F9" w:rsidP="15E5BA73">
      <w:pPr>
        <w:autoSpaceDE w:val="0"/>
        <w:autoSpaceDN w:val="0"/>
        <w:adjustRightInd w:val="0"/>
        <w:spacing w:after="120" w:line="240" w:lineRule="auto"/>
        <w:rPr>
          <w:color w:val="222222"/>
          <w:shd w:val="clear" w:color="auto" w:fill="FFFFFF"/>
        </w:rPr>
      </w:pPr>
      <w:r w:rsidRPr="15E5BA73">
        <w:rPr>
          <w:color w:val="222222"/>
          <w:shd w:val="clear" w:color="auto" w:fill="FFFFFF"/>
        </w:rPr>
        <w:t xml:space="preserve">Morikawa, M., 2023. Compliance costs and productivity: an approach </w:t>
      </w:r>
      <w:bookmarkStart w:id="43" w:name="_Int_VzxkFaJU"/>
      <w:r w:rsidRPr="15E5BA73">
        <w:rPr>
          <w:color w:val="222222"/>
          <w:shd w:val="clear" w:color="auto" w:fill="FFFFFF"/>
        </w:rPr>
        <w:t>from</w:t>
      </w:r>
      <w:bookmarkEnd w:id="43"/>
      <w:r w:rsidRPr="15E5BA73">
        <w:rPr>
          <w:color w:val="222222"/>
          <w:shd w:val="clear" w:color="auto" w:fill="FFFFFF"/>
        </w:rPr>
        <w:t xml:space="preserve"> working hours. </w:t>
      </w:r>
      <w:r w:rsidRPr="15E5BA73">
        <w:rPr>
          <w:i/>
          <w:iCs/>
          <w:color w:val="222222"/>
          <w:shd w:val="clear" w:color="auto" w:fill="FFFFFF"/>
        </w:rPr>
        <w:t>Journal of Regulatory Economics</w:t>
      </w:r>
      <w:r w:rsidRPr="15E5BA73">
        <w:rPr>
          <w:color w:val="222222"/>
          <w:shd w:val="clear" w:color="auto" w:fill="FFFFFF"/>
        </w:rPr>
        <w:t>, </w:t>
      </w:r>
      <w:r w:rsidRPr="15E5BA73">
        <w:rPr>
          <w:i/>
          <w:iCs/>
          <w:color w:val="222222"/>
          <w:shd w:val="clear" w:color="auto" w:fill="FFFFFF"/>
        </w:rPr>
        <w:t>63</w:t>
      </w:r>
      <w:r w:rsidRPr="15E5BA73">
        <w:rPr>
          <w:color w:val="222222"/>
          <w:shd w:val="clear" w:color="auto" w:fill="FFFFFF"/>
        </w:rPr>
        <w:t>(3), pp.117-137.</w:t>
      </w:r>
    </w:p>
    <w:p w14:paraId="7055638D" w14:textId="77777777" w:rsidR="00F96D23" w:rsidRDefault="1F45E5F9">
      <w:pPr>
        <w:autoSpaceDE w:val="0"/>
        <w:autoSpaceDN w:val="0"/>
        <w:adjustRightInd w:val="0"/>
        <w:spacing w:after="120" w:line="240" w:lineRule="auto"/>
        <w:rPr>
          <w:rFonts w:cstheme="minorHAnsi"/>
          <w:color w:val="222222"/>
          <w:shd w:val="clear" w:color="auto" w:fill="FFFFFF"/>
        </w:rPr>
      </w:pPr>
      <w:r w:rsidRPr="15E5BA73">
        <w:rPr>
          <w:color w:val="222222"/>
          <w:shd w:val="clear" w:color="auto" w:fill="FFFFFF"/>
        </w:rPr>
        <w:t>Muzi, S., Jolevski, F., Ueda, K. and Viganola, D., 2023. Productivity and firm exit during the COVID-19 crisis: Cross-country evidence. </w:t>
      </w:r>
      <w:r w:rsidRPr="15E5BA73">
        <w:rPr>
          <w:i/>
          <w:iCs/>
          <w:color w:val="222222"/>
          <w:shd w:val="clear" w:color="auto" w:fill="FFFFFF"/>
        </w:rPr>
        <w:t>Small Business Economics</w:t>
      </w:r>
      <w:r w:rsidRPr="15E5BA73">
        <w:rPr>
          <w:color w:val="222222"/>
          <w:shd w:val="clear" w:color="auto" w:fill="FFFFFF"/>
        </w:rPr>
        <w:t>, </w:t>
      </w:r>
      <w:r w:rsidRPr="15E5BA73">
        <w:rPr>
          <w:i/>
          <w:iCs/>
          <w:color w:val="222222"/>
          <w:shd w:val="clear" w:color="auto" w:fill="FFFFFF"/>
        </w:rPr>
        <w:t>60</w:t>
      </w:r>
      <w:r w:rsidRPr="15E5BA73">
        <w:rPr>
          <w:color w:val="222222"/>
          <w:shd w:val="clear" w:color="auto" w:fill="FFFFFF"/>
        </w:rPr>
        <w:t>(4), pp.1719-1760.</w:t>
      </w:r>
    </w:p>
    <w:p w14:paraId="1606B5FD" w14:textId="620A7AF0" w:rsidR="6C4237D6" w:rsidRPr="00AA6635" w:rsidRDefault="6C4237D6" w:rsidP="15E5BA73">
      <w:pPr>
        <w:rPr>
          <w:i/>
          <w:iCs/>
        </w:rPr>
      </w:pPr>
      <w:r>
        <w:t xml:space="preserve">OECD. 2011. </w:t>
      </w:r>
      <w:r w:rsidRPr="00AA6635">
        <w:rPr>
          <w:i/>
          <w:iCs/>
        </w:rPr>
        <w:t>Administrative Simplification in Viet Nam: Supporting the Competitiveness of the</w:t>
      </w:r>
    </w:p>
    <w:p w14:paraId="5146CDA7" w14:textId="3C2F63AA" w:rsidR="6C4237D6" w:rsidRDefault="6C4237D6" w:rsidP="15E5BA73">
      <w:r w:rsidRPr="00AA6635">
        <w:rPr>
          <w:i/>
          <w:iCs/>
        </w:rPr>
        <w:t>Vietnamese Economy</w:t>
      </w:r>
      <w:r>
        <w:t xml:space="preserve">, Cutting Red Tape, OECD Publishing. </w:t>
      </w:r>
      <w:hyperlink r:id="rId34" w:history="1">
        <w:r w:rsidRPr="15E5BA73">
          <w:rPr>
            <w:rStyle w:val="Hyperlink"/>
          </w:rPr>
          <w:t>http://dx.doi.org/10.1787/9789264096646-en.</w:t>
        </w:r>
      </w:hyperlink>
      <w:r>
        <w:t xml:space="preserve"> </w:t>
      </w:r>
    </w:p>
    <w:p w14:paraId="63F04955" w14:textId="7256160F" w:rsidR="0036265D" w:rsidRDefault="0036265D" w:rsidP="004A147F">
      <w:r w:rsidRPr="00400767">
        <w:t>OECD</w:t>
      </w:r>
      <w:r>
        <w:t xml:space="preserve">. </w:t>
      </w:r>
      <w:r w:rsidRPr="00400767">
        <w:t xml:space="preserve">2021. </w:t>
      </w:r>
      <w:r w:rsidRPr="00400767">
        <w:rPr>
          <w:i/>
          <w:iCs/>
        </w:rPr>
        <w:t>OECD Regulatory Policy Outlook 2021</w:t>
      </w:r>
      <w:r w:rsidRPr="00400767">
        <w:t xml:space="preserve">. </w:t>
      </w:r>
      <w:r w:rsidR="000207FD" w:rsidRPr="000B3378">
        <w:t>OECD Publishing</w:t>
      </w:r>
      <w:r w:rsidR="000207FD">
        <w:t xml:space="preserve">. </w:t>
      </w:r>
      <w:r w:rsidRPr="00400767">
        <w:t>Paris.</w:t>
      </w:r>
    </w:p>
    <w:p w14:paraId="550482DF" w14:textId="7F35AA57" w:rsidR="00C16781" w:rsidRPr="00400767" w:rsidRDefault="00C16781" w:rsidP="004A147F">
      <w:r>
        <w:t xml:space="preserve">OECD. 2021. Recommendations of the Council for Agile Regulatory Governance to Harness Innovation. </w:t>
      </w:r>
      <w:r w:rsidR="00005EDF" w:rsidRPr="00005EDF">
        <w:t>Adopted by the Council at Ministerial level on 6 October 2021</w:t>
      </w:r>
      <w:r w:rsidR="00005EDF">
        <w:t>.</w:t>
      </w:r>
    </w:p>
    <w:p w14:paraId="5254FB74" w14:textId="2ED60AA1" w:rsidR="000B3378" w:rsidRDefault="000B3378" w:rsidP="004A147F">
      <w:r w:rsidRPr="000B3378">
        <w:t>OECD</w:t>
      </w:r>
      <w:r>
        <w:t xml:space="preserve">. </w:t>
      </w:r>
      <w:r w:rsidRPr="000B3378">
        <w:t>2022</w:t>
      </w:r>
      <w:r>
        <w:t>.</w:t>
      </w:r>
      <w:r w:rsidRPr="000B3378">
        <w:t xml:space="preserve"> </w:t>
      </w:r>
      <w:r w:rsidRPr="00C4155C">
        <w:rPr>
          <w:i/>
          <w:iCs/>
        </w:rPr>
        <w:t>Supporting Regulatory Reforms in Southeast Asia</w:t>
      </w:r>
      <w:r w:rsidR="00AF2551">
        <w:rPr>
          <w:i/>
          <w:iCs/>
        </w:rPr>
        <w:t>.</w:t>
      </w:r>
      <w:r w:rsidRPr="000B3378">
        <w:t xml:space="preserve"> OECD Publishing</w:t>
      </w:r>
      <w:r>
        <w:t>.</w:t>
      </w:r>
      <w:r w:rsidRPr="000B3378">
        <w:t xml:space="preserve"> Paris</w:t>
      </w:r>
      <w:r>
        <w:t>.</w:t>
      </w:r>
    </w:p>
    <w:p w14:paraId="1D63EBFA" w14:textId="36B82AF6" w:rsidR="00916DCF" w:rsidRPr="0024517C" w:rsidRDefault="00916DCF" w:rsidP="004A147F">
      <w:r w:rsidRPr="000A4C76">
        <w:t xml:space="preserve">Renda, Andrea. 2017. </w:t>
      </w:r>
      <w:r w:rsidR="0024517C" w:rsidRPr="00400767">
        <w:rPr>
          <w:i/>
          <w:iCs/>
        </w:rPr>
        <w:t>Introducing EU Reduction Targets on Regulatory Costs: A Feasibility Study.</w:t>
      </w:r>
      <w:r w:rsidR="0024517C">
        <w:t xml:space="preserve"> </w:t>
      </w:r>
      <w:r w:rsidR="000E13AB">
        <w:t xml:space="preserve">CEPS Research Report No. 2017/10. Brussels. </w:t>
      </w:r>
    </w:p>
    <w:p w14:paraId="5DF8AAC9" w14:textId="3784E1CE" w:rsidR="00014C2B" w:rsidRDefault="00014C2B" w:rsidP="004A147F">
      <w:r w:rsidRPr="00014C2B">
        <w:t>Saurav, A. and V. Steenbergen. 2023. The Effect of Multinational Enterprises on Climate Change. World Bank: Washington, D.C.</w:t>
      </w:r>
    </w:p>
    <w:p w14:paraId="3FE8D2D5" w14:textId="174AF05A" w:rsidR="00F41EB3" w:rsidRPr="00400767" w:rsidRDefault="00F41EB3" w:rsidP="004A147F">
      <w:r w:rsidRPr="00400767">
        <w:t>Schiffbauer, Marc; Hussain, Sahar; Sahnoun, Hania. 2015. Jobs or Privileges: Unleashing the Employment Potential of the Middle East and North Africa. MENA Development Report</w:t>
      </w:r>
      <w:r w:rsidR="00CD3AB8" w:rsidRPr="00400767">
        <w:t>. World Bank.</w:t>
      </w:r>
    </w:p>
    <w:p w14:paraId="669B6DD8" w14:textId="59CE36F7" w:rsidR="00E50727" w:rsidRDefault="00E50727" w:rsidP="004A147F">
      <w:r w:rsidRPr="00530342">
        <w:t xml:space="preserve">Solf, Sylvia, and </w:t>
      </w:r>
      <w:r w:rsidR="009B00EA" w:rsidRPr="00530342">
        <w:t>Trang T</w:t>
      </w:r>
      <w:r w:rsidR="00530342" w:rsidRPr="00530342">
        <w:t>h</w:t>
      </w:r>
      <w:r w:rsidR="009B00EA" w:rsidRPr="00530342">
        <w:t>u Tran</w:t>
      </w:r>
      <w:r w:rsidR="00494611">
        <w:t>.</w:t>
      </w:r>
      <w:r w:rsidR="00041A79">
        <w:t xml:space="preserve"> 2019</w:t>
      </w:r>
      <w:r w:rsidR="00494611">
        <w:t xml:space="preserve">. </w:t>
      </w:r>
      <w:r w:rsidR="006145B0">
        <w:t>“Implementing Vision 2035: Priorities for business regulatory reforms”</w:t>
      </w:r>
      <w:r w:rsidR="00CE47B5">
        <w:t>,</w:t>
      </w:r>
      <w:r w:rsidR="006145B0">
        <w:t xml:space="preserve"> </w:t>
      </w:r>
      <w:r w:rsidR="005B177A">
        <w:t xml:space="preserve">Background </w:t>
      </w:r>
      <w:r w:rsidR="00CE47B5">
        <w:t>paper for the Viet Nam 2035 Report</w:t>
      </w:r>
      <w:r w:rsidR="00E01B44">
        <w:t>.</w:t>
      </w:r>
    </w:p>
    <w:p w14:paraId="51D6F4EF" w14:textId="770A70EF" w:rsidR="004A147F" w:rsidRPr="00B85888" w:rsidRDefault="004A147F" w:rsidP="004A147F">
      <w:r w:rsidRPr="000A4C76">
        <w:t xml:space="preserve">Syverson, C. 2011. </w:t>
      </w:r>
      <w:r>
        <w:t>“</w:t>
      </w:r>
      <w:r w:rsidRPr="00B85888">
        <w:t>What Determines Productivity?</w:t>
      </w:r>
      <w:r>
        <w:t>”</w:t>
      </w:r>
      <w:r w:rsidRPr="00B85888">
        <w:t xml:space="preserve"> </w:t>
      </w:r>
      <w:r w:rsidRPr="001C2487">
        <w:rPr>
          <w:i/>
          <w:iCs/>
        </w:rPr>
        <w:t>Journal of Economic Literature</w:t>
      </w:r>
      <w:r w:rsidRPr="00B85888">
        <w:t xml:space="preserve"> 49</w:t>
      </w:r>
      <w:r>
        <w:t xml:space="preserve"> </w:t>
      </w:r>
      <w:r w:rsidRPr="00B85888">
        <w:t>(2)</w:t>
      </w:r>
      <w:r>
        <w:t>:</w:t>
      </w:r>
      <w:r w:rsidRPr="00B85888">
        <w:t xml:space="preserve"> 326</w:t>
      </w:r>
      <w:r>
        <w:t>–</w:t>
      </w:r>
      <w:r w:rsidRPr="00B85888">
        <w:t>65.</w:t>
      </w:r>
    </w:p>
    <w:p w14:paraId="04F7A316" w14:textId="77777777" w:rsidR="0052232F" w:rsidRDefault="0052232F" w:rsidP="0052232F">
      <w:r w:rsidRPr="00B85888">
        <w:t>Olley</w:t>
      </w:r>
      <w:r>
        <w:t xml:space="preserve">, S. and A. </w:t>
      </w:r>
      <w:r w:rsidRPr="00B85888">
        <w:t xml:space="preserve">Pakes. 1995. </w:t>
      </w:r>
      <w:r>
        <w:t>“</w:t>
      </w:r>
      <w:r w:rsidRPr="00B85888">
        <w:t>A Limit Theorem for a Smooth Class of Semiparametric Estimators.</w:t>
      </w:r>
      <w:r>
        <w:t>”</w:t>
      </w:r>
      <w:r w:rsidRPr="00B85888">
        <w:t xml:space="preserve"> </w:t>
      </w:r>
      <w:r w:rsidRPr="001C2487">
        <w:rPr>
          <w:i/>
          <w:iCs/>
        </w:rPr>
        <w:t>Journal of Econometrics</w:t>
      </w:r>
      <w:r w:rsidRPr="00B85888">
        <w:t xml:space="preserve"> 65</w:t>
      </w:r>
      <w:r>
        <w:t xml:space="preserve"> </w:t>
      </w:r>
      <w:r w:rsidRPr="00B85888">
        <w:t>(1)</w:t>
      </w:r>
      <w:r>
        <w:t>:</w:t>
      </w:r>
      <w:r w:rsidRPr="00B85888">
        <w:t xml:space="preserve"> 295</w:t>
      </w:r>
      <w:r>
        <w:t>–</w:t>
      </w:r>
      <w:r w:rsidRPr="00B85888">
        <w:t>332.</w:t>
      </w:r>
    </w:p>
    <w:p w14:paraId="212752E6" w14:textId="6288996E" w:rsidR="003D2790" w:rsidRDefault="003D2790" w:rsidP="003D2790">
      <w:r>
        <w:t>Vranic,</w:t>
      </w:r>
      <w:r w:rsidR="00C10956">
        <w:t xml:space="preserve"> </w:t>
      </w:r>
      <w:r>
        <w:t>Goran. 2021. Assessment of Digital Government to Business Services Business Environment Reform II Croatia (English). Washington, D.C.: World Bank Group.</w:t>
      </w:r>
    </w:p>
    <w:p w14:paraId="7ED5E159" w14:textId="7AE7940B" w:rsidR="00014C2B" w:rsidRDefault="00014C2B" w:rsidP="0052232F">
      <w:r w:rsidRPr="00014C2B">
        <w:t>Vranic, G. and A. Molfetas. 2022. Business Licensing and Inspections Maturity Model. Washington D.C.</w:t>
      </w:r>
    </w:p>
    <w:p w14:paraId="25A7CF63" w14:textId="65179B26" w:rsidR="001C154F" w:rsidRDefault="001C154F" w:rsidP="0052232F">
      <w:r w:rsidRPr="001C154F">
        <w:t xml:space="preserve">VCCI and USAID. 2022. </w:t>
      </w:r>
      <w:r w:rsidRPr="001D176C">
        <w:rPr>
          <w:i/>
          <w:iCs/>
        </w:rPr>
        <w:t>Provincial Competitiveness Index 2022</w:t>
      </w:r>
      <w:r w:rsidRPr="001C154F">
        <w:t>.</w:t>
      </w:r>
    </w:p>
    <w:p w14:paraId="20DD97D5" w14:textId="685D24D3" w:rsidR="00252A2E" w:rsidRDefault="00252A2E" w:rsidP="0052232F">
      <w:r>
        <w:t>World Bank</w:t>
      </w:r>
      <w:r w:rsidR="00B6725B">
        <w:t xml:space="preserve">. Forthcoming. </w:t>
      </w:r>
      <w:r w:rsidR="00883764" w:rsidRPr="00D64CD6">
        <w:rPr>
          <w:i/>
          <w:iCs/>
        </w:rPr>
        <w:t>Vietnam 2045</w:t>
      </w:r>
      <w:r w:rsidR="00883764">
        <w:rPr>
          <w:i/>
          <w:iCs/>
        </w:rPr>
        <w:t>.</w:t>
      </w:r>
      <w:r w:rsidR="00883764" w:rsidRPr="00D64CD6">
        <w:rPr>
          <w:i/>
          <w:iCs/>
        </w:rPr>
        <w:t xml:space="preserve"> </w:t>
      </w:r>
      <w:r w:rsidR="00B6725B" w:rsidRPr="00883764">
        <w:rPr>
          <w:i/>
          <w:iCs/>
        </w:rPr>
        <w:t>Trading</w:t>
      </w:r>
      <w:r w:rsidR="00B6725B" w:rsidRPr="0064533A">
        <w:rPr>
          <w:i/>
          <w:iCs/>
        </w:rPr>
        <w:t xml:space="preserve"> Up in a Changing World: Upgrading Viet Nam’s Participation in Global Value Chains</w:t>
      </w:r>
      <w:r w:rsidR="00B6725B">
        <w:t>. Washington, D.C.</w:t>
      </w:r>
    </w:p>
    <w:p w14:paraId="760617D6" w14:textId="2BE770E3" w:rsidR="00FD67A1" w:rsidRPr="00B85888" w:rsidRDefault="00FD67A1" w:rsidP="0052232F">
      <w:r w:rsidRPr="00FD67A1">
        <w:t xml:space="preserve">World Bank. 2023. </w:t>
      </w:r>
      <w:r w:rsidRPr="00400767">
        <w:rPr>
          <w:i/>
          <w:iCs/>
        </w:rPr>
        <w:t>Promoting Innovative Entrepreneurship in Viet</w:t>
      </w:r>
      <w:r w:rsidR="00AC3ED2">
        <w:rPr>
          <w:i/>
          <w:iCs/>
        </w:rPr>
        <w:t xml:space="preserve"> N</w:t>
      </w:r>
      <w:r w:rsidR="00AC3ED2" w:rsidRPr="00400767">
        <w:rPr>
          <w:i/>
          <w:iCs/>
        </w:rPr>
        <w:t>am</w:t>
      </w:r>
      <w:r w:rsidRPr="00400767">
        <w:rPr>
          <w:i/>
          <w:iCs/>
        </w:rPr>
        <w:t xml:space="preserve"> 2023</w:t>
      </w:r>
      <w:r w:rsidRPr="00FD67A1">
        <w:t>. Washington, D.C.</w:t>
      </w:r>
    </w:p>
    <w:p w14:paraId="218C3A62" w14:textId="68E279B2" w:rsidR="00B10B30" w:rsidRPr="005053CB" w:rsidRDefault="00B10B30" w:rsidP="00B10B30">
      <w:r w:rsidRPr="005053CB">
        <w:lastRenderedPageBreak/>
        <w:t>World Bank Group.</w:t>
      </w:r>
      <w:r>
        <w:t xml:space="preserve"> 2022. </w:t>
      </w:r>
      <w:r w:rsidRPr="005053CB">
        <w:rPr>
          <w:i/>
          <w:iCs/>
        </w:rPr>
        <w:t>Viet</w:t>
      </w:r>
      <w:r w:rsidR="00AC3ED2">
        <w:rPr>
          <w:i/>
          <w:iCs/>
        </w:rPr>
        <w:t xml:space="preserve"> N</w:t>
      </w:r>
      <w:r w:rsidR="00AC3ED2" w:rsidRPr="005053CB">
        <w:rPr>
          <w:i/>
          <w:iCs/>
        </w:rPr>
        <w:t>am</w:t>
      </w:r>
      <w:r w:rsidRPr="005053CB">
        <w:rPr>
          <w:i/>
          <w:iCs/>
        </w:rPr>
        <w:t xml:space="preserve"> – Country Climate and Development Report (English). </w:t>
      </w:r>
      <w:r w:rsidRPr="005053CB">
        <w:t>Washington, D.C.</w:t>
      </w:r>
    </w:p>
    <w:p w14:paraId="37A1F5DF" w14:textId="7C079FE0" w:rsidR="004A147F" w:rsidRDefault="00A502DA" w:rsidP="00400767">
      <w:pPr>
        <w:autoSpaceDE w:val="0"/>
        <w:autoSpaceDN w:val="0"/>
        <w:adjustRightInd w:val="0"/>
        <w:spacing w:after="120" w:line="240" w:lineRule="auto"/>
        <w:rPr>
          <w:rFonts w:cstheme="minorHAnsi"/>
          <w:color w:val="222222"/>
          <w:shd w:val="clear" w:color="auto" w:fill="FFFFFF"/>
        </w:rPr>
      </w:pPr>
      <w:r>
        <w:rPr>
          <w:rFonts w:cstheme="minorHAnsi"/>
          <w:color w:val="222222"/>
          <w:shd w:val="clear" w:color="auto" w:fill="FFFFFF"/>
        </w:rPr>
        <w:t>World Bank Group. 202</w:t>
      </w:r>
      <w:r w:rsidR="001E4ED3">
        <w:rPr>
          <w:rFonts w:cstheme="minorHAnsi"/>
          <w:color w:val="222222"/>
          <w:shd w:val="clear" w:color="auto" w:fill="FFFFFF"/>
        </w:rPr>
        <w:t>1</w:t>
      </w:r>
      <w:r>
        <w:rPr>
          <w:rFonts w:cstheme="minorHAnsi"/>
          <w:color w:val="222222"/>
          <w:shd w:val="clear" w:color="auto" w:fill="FFFFFF"/>
        </w:rPr>
        <w:t xml:space="preserve">. </w:t>
      </w:r>
      <w:r w:rsidRPr="00400767">
        <w:rPr>
          <w:rFonts w:cstheme="minorHAnsi"/>
          <w:i/>
          <w:iCs/>
          <w:color w:val="222222"/>
          <w:shd w:val="clear" w:color="auto" w:fill="FFFFFF"/>
        </w:rPr>
        <w:t>Vietnam: Science, Technology and Innovation Report</w:t>
      </w:r>
      <w:r w:rsidR="001E4ED3">
        <w:rPr>
          <w:rFonts w:cstheme="minorHAnsi"/>
          <w:i/>
          <w:iCs/>
          <w:color w:val="222222"/>
          <w:shd w:val="clear" w:color="auto" w:fill="FFFFFF"/>
        </w:rPr>
        <w:t>:</w:t>
      </w:r>
      <w:r w:rsidRPr="00400767">
        <w:rPr>
          <w:rFonts w:cstheme="minorHAnsi"/>
          <w:i/>
          <w:iCs/>
          <w:color w:val="222222"/>
          <w:shd w:val="clear" w:color="auto" w:fill="FFFFFF"/>
        </w:rPr>
        <w:t xml:space="preserve"> </w:t>
      </w:r>
      <w:r w:rsidR="001E4ED3" w:rsidRPr="00400767">
        <w:rPr>
          <w:rFonts w:cstheme="minorHAnsi"/>
          <w:i/>
          <w:iCs/>
          <w:color w:val="222222"/>
          <w:shd w:val="clear" w:color="auto" w:fill="FFFFFF"/>
        </w:rPr>
        <w:t>Policy Brief 2020</w:t>
      </w:r>
      <w:r w:rsidR="001E4ED3">
        <w:rPr>
          <w:rFonts w:cstheme="minorHAnsi"/>
          <w:color w:val="222222"/>
          <w:shd w:val="clear" w:color="auto" w:fill="FFFFFF"/>
        </w:rPr>
        <w:t>. Washington, D.C.</w:t>
      </w:r>
    </w:p>
    <w:p w14:paraId="5F04900E" w14:textId="32AF5FC9" w:rsidR="009D7FFE" w:rsidRPr="00400767" w:rsidRDefault="009D7FFE" w:rsidP="00400767">
      <w:pPr>
        <w:autoSpaceDE w:val="0"/>
        <w:autoSpaceDN w:val="0"/>
        <w:adjustRightInd w:val="0"/>
        <w:spacing w:after="120" w:line="240" w:lineRule="auto"/>
        <w:rPr>
          <w:rFonts w:cstheme="minorHAnsi"/>
          <w:color w:val="222222"/>
          <w:shd w:val="clear" w:color="auto" w:fill="FFFFFF"/>
        </w:rPr>
      </w:pPr>
      <w:r w:rsidRPr="009D7FFE">
        <w:rPr>
          <w:rFonts w:cstheme="minorHAnsi"/>
          <w:color w:val="222222"/>
          <w:shd w:val="clear" w:color="auto" w:fill="FFFFFF"/>
        </w:rPr>
        <w:t xml:space="preserve">World Bank Group. 2010. </w:t>
      </w:r>
      <w:r w:rsidRPr="001D176C">
        <w:rPr>
          <w:rFonts w:cstheme="minorHAnsi"/>
          <w:i/>
          <w:iCs/>
          <w:color w:val="222222"/>
          <w:shd w:val="clear" w:color="auto" w:fill="FFFFFF"/>
        </w:rPr>
        <w:t>Here is Your Money: Using the Standard Cost Model to Measure Regulatory Compliance Costs in Developing Countries</w:t>
      </w:r>
      <w:r w:rsidRPr="009D7FFE">
        <w:rPr>
          <w:rFonts w:cstheme="minorHAnsi"/>
          <w:color w:val="222222"/>
          <w:shd w:val="clear" w:color="auto" w:fill="FFFFFF"/>
        </w:rPr>
        <w:t>. Washington, D.C.</w:t>
      </w:r>
      <w:r>
        <w:rPr>
          <w:rFonts w:cstheme="minorHAnsi"/>
          <w:color w:val="222222"/>
          <w:shd w:val="clear" w:color="auto" w:fill="FFFFFF"/>
        </w:rPr>
        <w:t xml:space="preserve"> </w:t>
      </w:r>
    </w:p>
    <w:p w14:paraId="2EAB9400" w14:textId="77777777" w:rsidR="00A82813" w:rsidRPr="0034548B" w:rsidRDefault="00A82813" w:rsidP="001D176C">
      <w:pPr>
        <w:spacing w:after="120"/>
      </w:pPr>
    </w:p>
    <w:p w14:paraId="6C351411" w14:textId="77777777" w:rsidR="001554A0" w:rsidRPr="001554A0" w:rsidRDefault="001554A0" w:rsidP="001554A0"/>
    <w:p w14:paraId="6DF33F18" w14:textId="77777777" w:rsidR="00196D0E" w:rsidRDefault="00196D0E">
      <w:pPr>
        <w:rPr>
          <w:rFonts w:asciiTheme="majorHAnsi" w:eastAsiaTheme="majorEastAsia" w:hAnsiTheme="majorHAnsi" w:cstheme="majorBidi"/>
          <w:color w:val="2F5496" w:themeColor="accent1" w:themeShade="BF"/>
          <w:sz w:val="32"/>
          <w:szCs w:val="32"/>
        </w:rPr>
      </w:pPr>
      <w:r>
        <w:br w:type="page"/>
      </w:r>
    </w:p>
    <w:p w14:paraId="44E50772" w14:textId="048FEDA2" w:rsidR="00020E55" w:rsidRPr="00BC08D5" w:rsidRDefault="001D3999" w:rsidP="001D3999">
      <w:pPr>
        <w:pStyle w:val="Heading2"/>
        <w:numPr>
          <w:ilvl w:val="0"/>
          <w:numId w:val="0"/>
        </w:numPr>
      </w:pPr>
      <w:bookmarkStart w:id="44" w:name="_Toc175228090"/>
      <w:r w:rsidRPr="00BC08D5">
        <w:lastRenderedPageBreak/>
        <w:t xml:space="preserve">Annex I: </w:t>
      </w:r>
      <w:r w:rsidR="00907DC4" w:rsidRPr="00BC08D5">
        <w:t xml:space="preserve">ICA 2.0 </w:t>
      </w:r>
      <w:r w:rsidR="000E6315" w:rsidRPr="00BC08D5">
        <w:t>Methodology</w:t>
      </w:r>
      <w:bookmarkEnd w:id="44"/>
      <w:r w:rsidR="000E6315" w:rsidRPr="00BC08D5">
        <w:t xml:space="preserve"> </w:t>
      </w:r>
    </w:p>
    <w:p w14:paraId="19D84892" w14:textId="77777777" w:rsidR="00400767" w:rsidRDefault="00400767" w:rsidP="00907374"/>
    <w:p w14:paraId="3763BDD3" w14:textId="434CDAD9" w:rsidR="00907374" w:rsidRPr="00907374" w:rsidRDefault="00907374" w:rsidP="001D176C">
      <w:r w:rsidRPr="00907374">
        <w:t xml:space="preserve">The </w:t>
      </w:r>
      <w:r>
        <w:t>diagn</w:t>
      </w:r>
      <w:r w:rsidR="00862EAC">
        <w:t xml:space="preserve">ostic of business sector dynamism presented in this report leverages the </w:t>
      </w:r>
      <w:r w:rsidRPr="00907374">
        <w:t>I</w:t>
      </w:r>
      <w:r w:rsidR="00E16275">
        <w:t xml:space="preserve">nvestment </w:t>
      </w:r>
      <w:r w:rsidRPr="00907374">
        <w:t>C</w:t>
      </w:r>
      <w:r w:rsidR="00E16275">
        <w:t xml:space="preserve">limate </w:t>
      </w:r>
      <w:r w:rsidRPr="00907374">
        <w:t>A</w:t>
      </w:r>
      <w:r w:rsidR="00E16275">
        <w:t xml:space="preserve">ssessment (ICA) </w:t>
      </w:r>
      <w:r w:rsidRPr="00907374">
        <w:t xml:space="preserve">2.0 </w:t>
      </w:r>
      <w:r w:rsidR="00E16275">
        <w:t>methodol</w:t>
      </w:r>
      <w:r w:rsidR="00A238FD">
        <w:t>ogy</w:t>
      </w:r>
      <w:r w:rsidR="00E700D3">
        <w:t xml:space="preserve"> which blends </w:t>
      </w:r>
      <w:r w:rsidRPr="00907374">
        <w:t xml:space="preserve">the latest diagnostics with policy assessment. </w:t>
      </w:r>
    </w:p>
    <w:p w14:paraId="08761B0D" w14:textId="686570A0" w:rsidR="00907374" w:rsidRPr="00907374" w:rsidRDefault="00907374" w:rsidP="001D176C">
      <w:pPr>
        <w:spacing w:after="200" w:line="276" w:lineRule="auto"/>
        <w:jc w:val="both"/>
        <w:rPr>
          <w:rFonts w:ascii="Calibri" w:eastAsia="Calibri" w:hAnsi="Calibri" w:cs="Calibri"/>
        </w:rPr>
      </w:pPr>
      <w:r w:rsidRPr="00907374">
        <w:rPr>
          <w:rFonts w:ascii="Calibri" w:eastAsia="Calibri" w:hAnsi="Calibri" w:cs="Arial"/>
          <w:b/>
          <w:iCs/>
        </w:rPr>
        <w:t xml:space="preserve">The ICA 2.0 integrates the diagnostics and policy assessment around the four </w:t>
      </w:r>
      <w:r w:rsidRPr="00907374">
        <w:rPr>
          <w:rFonts w:ascii="Calibri" w:eastAsia="Calibri" w:hAnsi="Calibri" w:cs="Arial"/>
          <w:b/>
          <w:bCs/>
          <w:iCs/>
        </w:rPr>
        <w:t>channels</w:t>
      </w:r>
      <w:r w:rsidRPr="00907374">
        <w:rPr>
          <w:rFonts w:ascii="Calibri" w:eastAsia="Calibri" w:hAnsi="Calibri" w:cs="Arial"/>
          <w:b/>
          <w:iCs/>
        </w:rPr>
        <w:t xml:space="preserve"> through which private sector investments contribute to productivity growth and job creation.</w:t>
      </w:r>
      <w:r w:rsidRPr="00907374">
        <w:rPr>
          <w:rFonts w:ascii="Calibri" w:eastAsia="Calibri" w:hAnsi="Calibri" w:cs="Arial"/>
          <w:b/>
          <w:i/>
        </w:rPr>
        <w:t xml:space="preserve"> </w:t>
      </w:r>
      <w:r w:rsidRPr="00907374">
        <w:rPr>
          <w:rFonts w:ascii="Calibri" w:eastAsia="Calibri" w:hAnsi="Calibri" w:cs="Calibri"/>
        </w:rPr>
        <w:t xml:space="preserve">The four channels are identified by extensive analysis of the micro drivers of growth. They distinguish between the main policies driving the </w:t>
      </w:r>
      <w:r w:rsidR="006774AB">
        <w:rPr>
          <w:rFonts w:ascii="Calibri" w:eastAsia="Calibri" w:hAnsi="Calibri" w:cs="Calibri"/>
        </w:rPr>
        <w:t>within growth</w:t>
      </w:r>
      <w:r w:rsidR="006774AB" w:rsidRPr="00907374">
        <w:rPr>
          <w:rFonts w:ascii="Calibri" w:eastAsia="Calibri" w:hAnsi="Calibri" w:cs="Calibri"/>
        </w:rPr>
        <w:t xml:space="preserve"> </w:t>
      </w:r>
      <w:r w:rsidR="006774AB">
        <w:rPr>
          <w:rFonts w:ascii="Calibri" w:eastAsia="Calibri" w:hAnsi="Calibri" w:cs="Calibri"/>
        </w:rPr>
        <w:t>(</w:t>
      </w:r>
      <w:r w:rsidRPr="00907374">
        <w:rPr>
          <w:rFonts w:ascii="Calibri" w:eastAsia="Calibri" w:hAnsi="Calibri" w:cs="Calibri"/>
        </w:rPr>
        <w:t xml:space="preserve">internal growth of </w:t>
      </w:r>
      <w:r w:rsidR="00075C6B">
        <w:rPr>
          <w:rFonts w:ascii="Calibri" w:eastAsia="Calibri" w:hAnsi="Calibri" w:cs="Calibri"/>
        </w:rPr>
        <w:t xml:space="preserve">existing </w:t>
      </w:r>
      <w:r w:rsidRPr="00907374">
        <w:rPr>
          <w:rFonts w:ascii="Calibri" w:eastAsia="Calibri" w:hAnsi="Calibri" w:cs="Calibri"/>
        </w:rPr>
        <w:t>firms</w:t>
      </w:r>
      <w:r w:rsidR="00936286">
        <w:rPr>
          <w:rFonts w:ascii="Calibri" w:eastAsia="Calibri" w:hAnsi="Calibri" w:cs="Calibri"/>
        </w:rPr>
        <w:t xml:space="preserve"> </w:t>
      </w:r>
      <w:r w:rsidR="006774AB">
        <w:rPr>
          <w:rFonts w:ascii="Calibri" w:eastAsia="Calibri" w:hAnsi="Calibri" w:cs="Calibri"/>
        </w:rPr>
        <w:t>through upgrading investments</w:t>
      </w:r>
      <w:r w:rsidR="00645607">
        <w:rPr>
          <w:rFonts w:ascii="Calibri" w:eastAsia="Calibri" w:hAnsi="Calibri" w:cs="Calibri"/>
        </w:rPr>
        <w:t>)</w:t>
      </w:r>
      <w:r w:rsidRPr="00907374">
        <w:rPr>
          <w:rFonts w:ascii="Calibri" w:eastAsia="Calibri" w:hAnsi="Calibri" w:cs="Calibri"/>
        </w:rPr>
        <w:t>, the reallocation of resources across firms</w:t>
      </w:r>
      <w:r w:rsidR="00CD0884">
        <w:rPr>
          <w:rFonts w:ascii="Calibri" w:eastAsia="Calibri" w:hAnsi="Calibri" w:cs="Calibri"/>
        </w:rPr>
        <w:t xml:space="preserve"> </w:t>
      </w:r>
      <w:r w:rsidR="00645607">
        <w:rPr>
          <w:rFonts w:ascii="Calibri" w:eastAsia="Calibri" w:hAnsi="Calibri" w:cs="Calibri"/>
        </w:rPr>
        <w:t xml:space="preserve">to facilitate growth of more productive firms </w:t>
      </w:r>
      <w:r w:rsidR="00CD0884">
        <w:rPr>
          <w:rFonts w:ascii="Calibri" w:eastAsia="Calibri" w:hAnsi="Calibri" w:cs="Calibri"/>
        </w:rPr>
        <w:t>(</w:t>
      </w:r>
      <w:r w:rsidR="00A15260">
        <w:rPr>
          <w:rFonts w:ascii="Calibri" w:eastAsia="Calibri" w:hAnsi="Calibri" w:cs="Calibri"/>
        </w:rPr>
        <w:t>between growth</w:t>
      </w:r>
      <w:r w:rsidR="00645607">
        <w:rPr>
          <w:rFonts w:ascii="Calibri" w:eastAsia="Calibri" w:hAnsi="Calibri" w:cs="Calibri"/>
        </w:rPr>
        <w:t>)</w:t>
      </w:r>
      <w:r w:rsidRPr="00907374">
        <w:rPr>
          <w:rFonts w:ascii="Calibri" w:eastAsia="Calibri" w:hAnsi="Calibri" w:cs="Calibri"/>
        </w:rPr>
        <w:t>, firm entry</w:t>
      </w:r>
      <w:r w:rsidR="00075C6B">
        <w:rPr>
          <w:rFonts w:ascii="Calibri" w:eastAsia="Calibri" w:hAnsi="Calibri" w:cs="Calibri"/>
        </w:rPr>
        <w:t xml:space="preserve"> (investment in new firms)</w:t>
      </w:r>
      <w:r w:rsidRPr="00907374">
        <w:rPr>
          <w:rFonts w:ascii="Calibri" w:eastAsia="Calibri" w:hAnsi="Calibri" w:cs="Calibri"/>
        </w:rPr>
        <w:t>, and exit</w:t>
      </w:r>
      <w:r w:rsidR="00AF76D1">
        <w:rPr>
          <w:rFonts w:ascii="Calibri" w:eastAsia="Calibri" w:hAnsi="Calibri" w:cs="Calibri"/>
        </w:rPr>
        <w:t xml:space="preserve"> of unproductive </w:t>
      </w:r>
      <w:r w:rsidR="00AF76D1" w:rsidRPr="00907374">
        <w:rPr>
          <w:rFonts w:ascii="Calibri" w:eastAsia="Calibri" w:hAnsi="Calibri" w:cs="Calibri"/>
        </w:rPr>
        <w:t>firm</w:t>
      </w:r>
      <w:r w:rsidR="00AF76D1">
        <w:rPr>
          <w:rFonts w:ascii="Calibri" w:eastAsia="Calibri" w:hAnsi="Calibri" w:cs="Calibri"/>
        </w:rPr>
        <w:t>s</w:t>
      </w:r>
      <w:r w:rsidR="00AF76D1" w:rsidRPr="00907374">
        <w:rPr>
          <w:rFonts w:ascii="Calibri" w:eastAsia="Calibri" w:hAnsi="Calibri" w:cs="Calibri"/>
        </w:rPr>
        <w:t xml:space="preserve"> </w:t>
      </w:r>
      <w:r w:rsidRPr="00907374">
        <w:rPr>
          <w:rFonts w:ascii="Calibri" w:eastAsia="Calibri" w:hAnsi="Calibri" w:cs="Calibri"/>
        </w:rPr>
        <w:t xml:space="preserve">(figure 1.1). </w:t>
      </w:r>
    </w:p>
    <w:p w14:paraId="35F87B91" w14:textId="1070D2E1" w:rsidR="00907374" w:rsidRPr="00907374" w:rsidRDefault="00907374" w:rsidP="00907374">
      <w:pPr>
        <w:keepNext/>
        <w:keepLines/>
        <w:spacing w:before="240" w:after="120" w:line="240" w:lineRule="auto"/>
        <w:jc w:val="center"/>
        <w:rPr>
          <w:rFonts w:ascii="Calibri" w:eastAsia="Calibri" w:hAnsi="Calibri" w:cs="Calibri"/>
          <w:b/>
          <w:bCs/>
          <w:color w:val="4F81BD"/>
          <w:sz w:val="20"/>
          <w:szCs w:val="20"/>
        </w:rPr>
      </w:pPr>
      <w:bookmarkStart w:id="45" w:name="_Toc161953191"/>
      <w:r w:rsidRPr="00907374">
        <w:rPr>
          <w:rFonts w:ascii="Calibri" w:eastAsia="Calibri" w:hAnsi="Calibri" w:cs="Calibri"/>
          <w:b/>
          <w:bCs/>
          <w:color w:val="4F81BD"/>
          <w:sz w:val="20"/>
          <w:szCs w:val="20"/>
        </w:rPr>
        <w:t xml:space="preserve">Figure </w:t>
      </w:r>
      <w:r w:rsidR="003A2B2A">
        <w:rPr>
          <w:rFonts w:ascii="Calibri" w:eastAsia="Calibri" w:hAnsi="Calibri" w:cs="Calibri"/>
          <w:b/>
          <w:bCs/>
          <w:color w:val="4F81BD"/>
          <w:sz w:val="20"/>
          <w:szCs w:val="20"/>
        </w:rPr>
        <w:t>I</w:t>
      </w:r>
      <w:r w:rsidRPr="00907374">
        <w:rPr>
          <w:rFonts w:ascii="Calibri" w:eastAsia="Calibri" w:hAnsi="Calibri" w:cs="Calibri"/>
          <w:b/>
          <w:bCs/>
          <w:color w:val="4F81BD"/>
          <w:sz w:val="20"/>
          <w:szCs w:val="20"/>
        </w:rPr>
        <w:t xml:space="preserve">.1. </w:t>
      </w:r>
      <w:bookmarkEnd w:id="45"/>
      <w:r w:rsidRPr="00907374">
        <w:rPr>
          <w:rFonts w:ascii="Calibri" w:eastAsia="Calibri" w:hAnsi="Calibri" w:cs="Calibri"/>
          <w:b/>
          <w:bCs/>
          <w:color w:val="4F81BD"/>
          <w:sz w:val="20"/>
          <w:szCs w:val="20"/>
        </w:rPr>
        <w:t>Conceptual framework: the four policy channels enabling productivity growth and investment</w:t>
      </w:r>
    </w:p>
    <w:p w14:paraId="18A94C36" w14:textId="77777777" w:rsidR="00907374" w:rsidRPr="00907374" w:rsidRDefault="00907374" w:rsidP="00907374">
      <w:pPr>
        <w:keepNext/>
        <w:keepLines/>
        <w:spacing w:after="0" w:line="276" w:lineRule="auto"/>
        <w:jc w:val="center"/>
        <w:rPr>
          <w:rFonts w:ascii="Calibri" w:eastAsia="Calibri" w:hAnsi="Calibri" w:cs="Calibri"/>
        </w:rPr>
      </w:pPr>
      <w:r w:rsidRPr="00907374">
        <w:rPr>
          <w:rFonts w:ascii="Calibri" w:eastAsia="Calibri" w:hAnsi="Calibri" w:cs="Calibri"/>
          <w:noProof/>
        </w:rPr>
        <w:drawing>
          <wp:inline distT="0" distB="0" distL="0" distR="0" wp14:anchorId="6CB7F3AE" wp14:editId="680C4B6D">
            <wp:extent cx="5944235" cy="3340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31DD61A0" w14:textId="77777777" w:rsidR="00907374" w:rsidRPr="00907374" w:rsidRDefault="00907374" w:rsidP="00907374">
      <w:pPr>
        <w:keepNext/>
        <w:keepLines/>
        <w:spacing w:before="120" w:after="0" w:line="240" w:lineRule="auto"/>
        <w:rPr>
          <w:rFonts w:ascii="Calibri" w:eastAsia="Calibri" w:hAnsi="Calibri" w:cs="Calibri"/>
          <w:i/>
          <w:sz w:val="18"/>
          <w:szCs w:val="18"/>
        </w:rPr>
      </w:pPr>
      <w:r w:rsidRPr="00907374">
        <w:rPr>
          <w:rFonts w:ascii="Calibri" w:eastAsia="Calibri" w:hAnsi="Calibri" w:cs="Calibri"/>
          <w:i/>
          <w:sz w:val="18"/>
          <w:szCs w:val="18"/>
        </w:rPr>
        <w:t>Source</w:t>
      </w:r>
      <w:r w:rsidRPr="00907374">
        <w:rPr>
          <w:rFonts w:ascii="Calibri" w:eastAsia="Calibri" w:hAnsi="Calibri" w:cs="Calibri"/>
          <w:sz w:val="18"/>
          <w:szCs w:val="18"/>
        </w:rPr>
        <w:t xml:space="preserve">: </w:t>
      </w:r>
      <w:r w:rsidRPr="00907374">
        <w:rPr>
          <w:rFonts w:ascii="Calibri" w:eastAsia="Calibri" w:hAnsi="Calibri" w:cs="Calibri"/>
          <w:iCs/>
          <w:sz w:val="18"/>
          <w:szCs w:val="18"/>
        </w:rPr>
        <w:t xml:space="preserve">World Bank </w:t>
      </w:r>
      <w:r w:rsidRPr="00907374">
        <w:rPr>
          <w:rFonts w:ascii="Calibri" w:eastAsia="Calibri" w:hAnsi="Calibri" w:cs="Calibri"/>
          <w:sz w:val="18"/>
          <w:szCs w:val="18"/>
        </w:rPr>
        <w:t>s</w:t>
      </w:r>
      <w:r w:rsidRPr="00907374">
        <w:rPr>
          <w:rFonts w:ascii="Calibri" w:eastAsia="Calibri" w:hAnsi="Calibri" w:cs="Calibri"/>
          <w:iCs/>
          <w:sz w:val="18"/>
          <w:szCs w:val="18"/>
        </w:rPr>
        <w:t xml:space="preserve">taff. </w:t>
      </w:r>
    </w:p>
    <w:p w14:paraId="14F6FED6" w14:textId="3BA1E2AD" w:rsidR="00907374" w:rsidRPr="00907374" w:rsidRDefault="373D5043" w:rsidP="15E5BA73">
      <w:pPr>
        <w:keepNext/>
        <w:keepLines/>
        <w:spacing w:after="240" w:line="240" w:lineRule="auto"/>
        <w:rPr>
          <w:rFonts w:ascii="Calibri" w:eastAsia="Calibri" w:hAnsi="Calibri" w:cs="Calibri"/>
          <w:i/>
          <w:iCs/>
          <w:sz w:val="18"/>
          <w:szCs w:val="18"/>
        </w:rPr>
      </w:pPr>
      <w:r w:rsidRPr="15E5BA73">
        <w:rPr>
          <w:rFonts w:ascii="Calibri" w:eastAsia="Calibri" w:hAnsi="Calibri" w:cs="Calibri"/>
          <w:i/>
          <w:iCs/>
          <w:sz w:val="18"/>
          <w:szCs w:val="18"/>
        </w:rPr>
        <w:t>Note</w:t>
      </w:r>
      <w:r w:rsidRPr="15E5BA73">
        <w:rPr>
          <w:rFonts w:ascii="Calibri" w:eastAsia="Calibri" w:hAnsi="Calibri" w:cs="Calibri"/>
          <w:sz w:val="18"/>
          <w:szCs w:val="18"/>
        </w:rPr>
        <w:t xml:space="preserve">: The ICA 2.0 builds on existing frameworks of the </w:t>
      </w:r>
      <w:r w:rsidR="6F79158C" w:rsidRPr="15E5BA73">
        <w:rPr>
          <w:rFonts w:ascii="Calibri" w:eastAsia="Calibri" w:hAnsi="Calibri" w:cs="Calibri"/>
          <w:sz w:val="18"/>
          <w:szCs w:val="18"/>
        </w:rPr>
        <w:t>micro foundations</w:t>
      </w:r>
      <w:r w:rsidRPr="15E5BA73">
        <w:rPr>
          <w:rFonts w:ascii="Calibri" w:eastAsia="Calibri" w:hAnsi="Calibri" w:cs="Calibri"/>
          <w:sz w:val="18"/>
          <w:szCs w:val="18"/>
        </w:rPr>
        <w:t xml:space="preserve"> of growth, which are organized around a decomposition of aggregate productivity growth resulting in four channels that comply with the four policy areas facilitating firms’ investment (Syverson 2011; Olley and Pakes 1995; Foster, Haltiwanger, and Krizan 2001; Melitz and Polanec 2015). FDI = foreign direct investment; SOEs = state-owned enterprises.</w:t>
      </w:r>
    </w:p>
    <w:p w14:paraId="629B04B3" w14:textId="1B6599EA" w:rsidR="00907374" w:rsidRDefault="00907374" w:rsidP="00907374">
      <w:pPr>
        <w:spacing w:after="200" w:line="276" w:lineRule="auto"/>
        <w:jc w:val="both"/>
        <w:rPr>
          <w:rFonts w:ascii="Calibri" w:eastAsia="Calibri" w:hAnsi="Calibri" w:cs="Arial"/>
          <w:vertAlign w:val="superscript"/>
        </w:rPr>
      </w:pPr>
      <w:r w:rsidRPr="00907374">
        <w:rPr>
          <w:rFonts w:ascii="Calibri" w:eastAsia="Calibri" w:hAnsi="Calibri" w:cs="Calibri"/>
          <w:b/>
          <w:bCs/>
        </w:rPr>
        <w:t>The ICA 2.0 diagnostics provide guiding principles on the most important policy areas driving the four channels for boosting productive investment</w:t>
      </w:r>
      <w:r w:rsidRPr="00907374">
        <w:rPr>
          <w:rFonts w:ascii="Calibri" w:eastAsia="Calibri" w:hAnsi="Calibri" w:cs="Calibri"/>
        </w:rPr>
        <w:t>:</w:t>
      </w:r>
    </w:p>
    <w:p w14:paraId="70102044" w14:textId="6BC6F60A" w:rsidR="00907374" w:rsidRPr="00907374" w:rsidRDefault="00BF3D1C" w:rsidP="00907374">
      <w:pPr>
        <w:numPr>
          <w:ilvl w:val="0"/>
          <w:numId w:val="18"/>
        </w:numPr>
        <w:spacing w:after="200" w:line="276" w:lineRule="auto"/>
        <w:contextualSpacing/>
        <w:jc w:val="both"/>
        <w:rPr>
          <w:rFonts w:ascii="Calibri" w:eastAsia="Calibri" w:hAnsi="Calibri" w:cs="Arial"/>
        </w:rPr>
      </w:pPr>
      <w:r>
        <w:rPr>
          <w:rFonts w:ascii="Calibri" w:eastAsia="Calibri" w:hAnsi="Calibri" w:cs="Calibri"/>
          <w:i/>
        </w:rPr>
        <w:t>Firm entry (</w:t>
      </w:r>
      <w:r w:rsidR="003D2028" w:rsidRPr="00907374">
        <w:rPr>
          <w:rFonts w:ascii="Calibri" w:eastAsia="Calibri" w:hAnsi="Calibri" w:cs="Calibri"/>
          <w:i/>
        </w:rPr>
        <w:t>investing</w:t>
      </w:r>
      <w:r w:rsidR="00907374" w:rsidRPr="00907374">
        <w:rPr>
          <w:rFonts w:ascii="Calibri" w:eastAsia="Calibri" w:hAnsi="Calibri" w:cs="Calibri"/>
          <w:i/>
        </w:rPr>
        <w:t xml:space="preserve"> in new firms</w:t>
      </w:r>
      <w:r>
        <w:rPr>
          <w:rFonts w:ascii="Calibri" w:eastAsia="Calibri" w:hAnsi="Calibri" w:cs="Calibri"/>
          <w:i/>
        </w:rPr>
        <w:t>)</w:t>
      </w:r>
      <w:r w:rsidR="00907374" w:rsidRPr="00907374">
        <w:rPr>
          <w:rFonts w:ascii="Calibri" w:eastAsia="Calibri" w:hAnsi="Calibri" w:cs="Calibri"/>
        </w:rPr>
        <w:t xml:space="preserve">. This channel underscores that productive investments can be enabled by investing in new firms―either new domestic companies or greenfield foreign direct investment (FDI). Relevant policies to remove barriers to investing in new firms include simplifying or removing restrictions to foreign ownership, promoting an enabling legal framework for </w:t>
      </w:r>
      <w:r w:rsidR="00907374" w:rsidRPr="00907374">
        <w:rPr>
          <w:rFonts w:ascii="Calibri" w:eastAsia="Calibri" w:hAnsi="Calibri" w:cs="Calibri"/>
        </w:rPr>
        <w:lastRenderedPageBreak/>
        <w:t>company establishment,</w:t>
      </w:r>
      <w:r w:rsidR="00907374" w:rsidRPr="00907374" w:rsidDel="000E0B75">
        <w:rPr>
          <w:rFonts w:ascii="Calibri" w:eastAsia="Calibri" w:hAnsi="Calibri" w:cs="Calibri"/>
        </w:rPr>
        <w:t xml:space="preserve"> </w:t>
      </w:r>
      <w:r w:rsidR="00907374" w:rsidRPr="00907374">
        <w:rPr>
          <w:rFonts w:ascii="Calibri" w:eastAsia="Calibri" w:hAnsi="Calibri" w:cs="Calibri"/>
        </w:rPr>
        <w:t xml:space="preserve">facilitating effective and efficient registration, licensing, and supervision, and improving FDI attraction, expansion, and international investment agreements. </w:t>
      </w:r>
    </w:p>
    <w:p w14:paraId="35B2B75B" w14:textId="4CB85DAA" w:rsidR="00907374" w:rsidRPr="00907374" w:rsidRDefault="00BF3D1C" w:rsidP="00907374">
      <w:pPr>
        <w:numPr>
          <w:ilvl w:val="0"/>
          <w:numId w:val="18"/>
        </w:numPr>
        <w:spacing w:after="200" w:line="276" w:lineRule="auto"/>
        <w:contextualSpacing/>
        <w:jc w:val="both"/>
        <w:rPr>
          <w:rFonts w:ascii="Calibri" w:eastAsia="Calibri" w:hAnsi="Calibri" w:cs="Arial"/>
        </w:rPr>
      </w:pPr>
      <w:r>
        <w:rPr>
          <w:rFonts w:ascii="Calibri" w:eastAsia="Calibri" w:hAnsi="Calibri" w:cs="Arial"/>
          <w:i/>
          <w:iCs/>
        </w:rPr>
        <w:t>Within growth (</w:t>
      </w:r>
      <w:r w:rsidR="373D5043" w:rsidRPr="15E5BA73">
        <w:rPr>
          <w:rFonts w:ascii="Calibri" w:eastAsia="Calibri" w:hAnsi="Calibri" w:cs="Arial"/>
          <w:i/>
          <w:iCs/>
        </w:rPr>
        <w:t>U</w:t>
      </w:r>
      <w:r w:rsidR="373D5043" w:rsidRPr="15E5BA73">
        <w:rPr>
          <w:rFonts w:ascii="Calibri" w:eastAsia="Calibri" w:hAnsi="Calibri" w:cs="Calibri"/>
          <w:i/>
          <w:iCs/>
        </w:rPr>
        <w:t>pgrading investment in existing firms</w:t>
      </w:r>
      <w:r>
        <w:rPr>
          <w:rFonts w:ascii="Calibri" w:eastAsia="Calibri" w:hAnsi="Calibri" w:cs="Calibri"/>
          <w:i/>
          <w:iCs/>
        </w:rPr>
        <w:t>)</w:t>
      </w:r>
      <w:r w:rsidR="373D5043" w:rsidRPr="15E5BA73">
        <w:rPr>
          <w:rFonts w:ascii="Calibri" w:eastAsia="Calibri" w:hAnsi="Calibri" w:cs="Arial"/>
        </w:rPr>
        <w:t xml:space="preserve">. This channel covers </w:t>
      </w:r>
      <w:r w:rsidR="373D5043" w:rsidRPr="15E5BA73">
        <w:rPr>
          <w:rFonts w:ascii="Calibri" w:eastAsia="Calibri" w:hAnsi="Calibri" w:cs="Calibri"/>
        </w:rPr>
        <w:t>productivity gains from incumbent firms’ efficiency improvements, for example, from adopting new technology or promoting better access to inputs. Policies facilitating the upgrading of existing firms reduce risks that government policies may pose to firm operations, including political and regulatory risks for FDI, tax procedures, and business inspections, but also ensure that firms have the resources to scale up by adequate access to inputs such as skilled labor, land, utilities, and finance. It includes innovation or small and medium enterprise (SME) policies that can include programs to support entrepreneurship, technology ad</w:t>
      </w:r>
      <w:r w:rsidR="2CEC3ED4" w:rsidRPr="15E5BA73">
        <w:rPr>
          <w:rFonts w:ascii="Calibri" w:eastAsia="Calibri" w:hAnsi="Calibri" w:cs="Calibri"/>
        </w:rPr>
        <w:t>o</w:t>
      </w:r>
      <w:r w:rsidR="373D5043" w:rsidRPr="15E5BA73">
        <w:rPr>
          <w:rFonts w:ascii="Calibri" w:eastAsia="Calibri" w:hAnsi="Calibri" w:cs="Calibri"/>
        </w:rPr>
        <w:t xml:space="preserve">ption, or FDI linkages with domestic firms, encouraging firms to adapt better technology or practices. </w:t>
      </w:r>
    </w:p>
    <w:p w14:paraId="2430F235" w14:textId="6882E3A7" w:rsidR="00907374" w:rsidRPr="00907374" w:rsidRDefault="00BF3D1C" w:rsidP="00907374">
      <w:pPr>
        <w:numPr>
          <w:ilvl w:val="0"/>
          <w:numId w:val="18"/>
        </w:numPr>
        <w:spacing w:after="200" w:line="276" w:lineRule="auto"/>
        <w:contextualSpacing/>
        <w:jc w:val="both"/>
        <w:rPr>
          <w:rFonts w:ascii="Calibri" w:eastAsia="Calibri" w:hAnsi="Calibri" w:cs="Arial"/>
        </w:rPr>
      </w:pPr>
      <w:r>
        <w:rPr>
          <w:rFonts w:ascii="Calibri" w:eastAsia="Calibri" w:hAnsi="Calibri" w:cs="Arial"/>
          <w:i/>
        </w:rPr>
        <w:t>Between growth (</w:t>
      </w:r>
      <w:r w:rsidR="004D316A">
        <w:rPr>
          <w:rFonts w:ascii="Calibri" w:eastAsia="Calibri" w:hAnsi="Calibri" w:cs="Arial"/>
          <w:i/>
        </w:rPr>
        <w:t>F</w:t>
      </w:r>
      <w:r w:rsidR="00907374" w:rsidRPr="00907374">
        <w:rPr>
          <w:rFonts w:ascii="Calibri" w:eastAsia="Calibri" w:hAnsi="Calibri" w:cs="Arial"/>
          <w:i/>
        </w:rPr>
        <w:t>acilitating the growth of more productive firms</w:t>
      </w:r>
      <w:r>
        <w:rPr>
          <w:rFonts w:ascii="Calibri" w:eastAsia="Calibri" w:hAnsi="Calibri" w:cs="Arial"/>
          <w:i/>
        </w:rPr>
        <w:t>)</w:t>
      </w:r>
      <w:r w:rsidR="00907374" w:rsidRPr="00907374">
        <w:rPr>
          <w:rFonts w:ascii="Calibri" w:eastAsia="Calibri" w:hAnsi="Calibri" w:cs="Arial"/>
        </w:rPr>
        <w:t xml:space="preserve">. </w:t>
      </w:r>
      <w:r w:rsidR="00907374" w:rsidRPr="00907374">
        <w:rPr>
          <w:rFonts w:ascii="Calibri" w:eastAsia="Calibri" w:hAnsi="Calibri" w:cs="Calibri"/>
        </w:rPr>
        <w:t xml:space="preserve">This channel enhances aggregate productivity growth by facilitating the market conditions enabling more productive firms to expand, implying a more efficient allocation of resources in the economy. Relevant policies in this channel include policies that safeguard access to competitive product markets through trade policy, quality infrastructure, competition policy, the removal of regulatory barriers, contract enforcement, and the consistent implementation of regulations and procedures, including public procurement across firms competing in the same sector. </w:t>
      </w:r>
    </w:p>
    <w:p w14:paraId="34C47726" w14:textId="41843CC2" w:rsidR="00400767" w:rsidRPr="00907374" w:rsidRDefault="00BF3D1C" w:rsidP="00907374">
      <w:pPr>
        <w:numPr>
          <w:ilvl w:val="0"/>
          <w:numId w:val="18"/>
        </w:numPr>
        <w:spacing w:after="200" w:line="276" w:lineRule="auto"/>
        <w:contextualSpacing/>
        <w:jc w:val="both"/>
        <w:rPr>
          <w:rFonts w:ascii="Calibri" w:eastAsia="Calibri" w:hAnsi="Calibri" w:cs="Arial"/>
        </w:rPr>
      </w:pPr>
      <w:r>
        <w:rPr>
          <w:rFonts w:ascii="Calibri" w:eastAsia="Calibri" w:hAnsi="Calibri" w:cs="Arial"/>
          <w:i/>
        </w:rPr>
        <w:t>Firm exit (</w:t>
      </w:r>
      <w:r w:rsidR="00907374" w:rsidRPr="00907374">
        <w:rPr>
          <w:rFonts w:ascii="Calibri" w:eastAsia="Calibri" w:hAnsi="Calibri" w:cs="Arial"/>
          <w:i/>
        </w:rPr>
        <w:t>Simplifying insolvency of unproductive firms</w:t>
      </w:r>
      <w:r>
        <w:rPr>
          <w:rFonts w:ascii="Calibri" w:eastAsia="Calibri" w:hAnsi="Calibri" w:cs="Arial"/>
          <w:i/>
        </w:rPr>
        <w:t>)</w:t>
      </w:r>
      <w:r w:rsidR="00907374" w:rsidRPr="00907374">
        <w:rPr>
          <w:rFonts w:ascii="Calibri" w:eastAsia="Calibri" w:hAnsi="Calibri" w:cs="Arial"/>
        </w:rPr>
        <w:t xml:space="preserve">. </w:t>
      </w:r>
      <w:r w:rsidR="00907374" w:rsidRPr="00907374">
        <w:rPr>
          <w:rFonts w:ascii="Calibri" w:eastAsia="Calibri" w:hAnsi="Calibri" w:cs="Calibri"/>
        </w:rPr>
        <w:t xml:space="preserve">This channel focuses on the aggregate productivity and investment benefits of freeing up capital and labor for more productive enterprises. Relevant policies include simplifying firm restructuring, deregistration, and insolvency. </w:t>
      </w:r>
    </w:p>
    <w:p w14:paraId="1DF662D9" w14:textId="77777777" w:rsidR="00034451" w:rsidRPr="00400767" w:rsidRDefault="00034451" w:rsidP="001D176C">
      <w:pPr>
        <w:spacing w:after="200" w:line="276" w:lineRule="auto"/>
        <w:ind w:left="720"/>
        <w:contextualSpacing/>
        <w:jc w:val="both"/>
        <w:rPr>
          <w:rFonts w:cstheme="minorHAnsi"/>
          <w:b/>
          <w:bCs/>
          <w:iCs/>
        </w:rPr>
      </w:pPr>
    </w:p>
    <w:p w14:paraId="15863CE5" w14:textId="2E0E4C2E" w:rsidR="007C77F3" w:rsidRDefault="5832BC3A" w:rsidP="15E5BA73">
      <w:pPr>
        <w:jc w:val="both"/>
      </w:pPr>
      <w:r w:rsidRPr="15E5BA73">
        <w:rPr>
          <w:b/>
          <w:bCs/>
        </w:rPr>
        <w:t>T</w:t>
      </w:r>
      <w:r w:rsidR="4B872BC0" w:rsidRPr="15E5BA73">
        <w:rPr>
          <w:b/>
          <w:bCs/>
        </w:rPr>
        <w:t xml:space="preserve">his integrated framework </w:t>
      </w:r>
      <w:r w:rsidR="16589905" w:rsidRPr="15E5BA73">
        <w:rPr>
          <w:b/>
          <w:bCs/>
        </w:rPr>
        <w:t>allows us</w:t>
      </w:r>
      <w:r w:rsidR="4B872BC0" w:rsidRPr="15E5BA73">
        <w:rPr>
          <w:b/>
          <w:bCs/>
        </w:rPr>
        <w:t xml:space="preserve"> to identify priority policy areas and subsequently determine the specific reform measures within those areas that promote productive investment.</w:t>
      </w:r>
      <w:r w:rsidR="4B872BC0" w:rsidRPr="15E5BA73">
        <w:t xml:space="preserve"> The ICA 2.0 first applies the diagnostic toolkit to prioritize the broader policy reform areas by uncovering the firm dynamics that undermine stronger aggregate productivity growth and investment. The toolkit then assesses how different policies within the prioritized policy area(s) are potential binding constraints by exploiting variations in policy indicators across sectors or regions within the focus country when available. Finally, the policy assessment leverages available policy indicators and tools, legal reviews, and consultations for a deep dive into the identified priority reform area(s) to pinpoint specific reform measures. </w:t>
      </w:r>
      <w:r w:rsidRPr="15E5BA73">
        <w:rPr>
          <w:rFonts w:ascii="Calibri" w:eastAsia="Calibri" w:hAnsi="Calibri" w:cs="Calibri"/>
        </w:rPr>
        <w:t>It provides guiding principles that, combined with deep dives into the resulting priority areas, detect binding policy actions.</w:t>
      </w:r>
    </w:p>
    <w:p w14:paraId="18742FAE" w14:textId="5D28C98D" w:rsidR="00A41608" w:rsidRDefault="00DA1C63" w:rsidP="00F017A0">
      <w:pPr>
        <w:spacing w:after="200" w:line="276" w:lineRule="auto"/>
        <w:jc w:val="both"/>
      </w:pPr>
      <w:r w:rsidRPr="00DA1C63">
        <w:rPr>
          <w:rFonts w:ascii="Calibri" w:eastAsia="Calibri" w:hAnsi="Calibri" w:cs="Calibri"/>
          <w:b/>
          <w:bCs/>
        </w:rPr>
        <w:t xml:space="preserve">The ICA 2.0. highlights how firm-level dynamics contribute to the evolution of aggregate productivity by decomposing aggregate TFP using standard decomposition techniques used in the literature (e.g., Figure 5). </w:t>
      </w:r>
      <w:r w:rsidRPr="001D176C">
        <w:rPr>
          <w:rFonts w:ascii="Calibri" w:eastAsia="Calibri" w:hAnsi="Calibri" w:cs="Calibri"/>
        </w:rPr>
        <w:t>The Melitz-Polanec</w:t>
      </w:r>
      <w:r w:rsidR="00910012">
        <w:rPr>
          <w:rFonts w:ascii="Calibri" w:eastAsia="Calibri" w:hAnsi="Calibri" w:cs="Calibri"/>
        </w:rPr>
        <w:t xml:space="preserve"> (2015)</w:t>
      </w:r>
      <w:r w:rsidRPr="001D176C">
        <w:rPr>
          <w:rFonts w:ascii="Calibri" w:eastAsia="Calibri" w:hAnsi="Calibri" w:cs="Calibri"/>
        </w:rPr>
        <w:t xml:space="preserve"> decomposition explains how the growth of aggregate productivity is driven by individual firms becoming more productive (called “within-firm” growth), increasing their size (called “between-firm” growth), and the entry and exit of firms. The “entry” component is positive if the entry of firms leads to an aggregate productivity increase (that is if the group of entering firms is more productive than the weighted average of surviving firms). The “exit” component is positive if the exit of firms leads to an aggregate productivity increase (that is if the group of exiting firms is less productive than the weighted average of surviving firms.</w:t>
      </w:r>
      <w:r w:rsidR="002E729F">
        <w:rPr>
          <w:rFonts w:ascii="Calibri" w:eastAsia="Calibri" w:hAnsi="Calibri" w:cs="Calibri"/>
        </w:rPr>
        <w:t xml:space="preserve"> </w:t>
      </w:r>
      <w:r w:rsidR="00A41608">
        <w:br w:type="page"/>
      </w:r>
    </w:p>
    <w:p w14:paraId="094A13F7" w14:textId="08BF59DC" w:rsidR="00A41608" w:rsidRPr="00BC08D5" w:rsidRDefault="001D3999" w:rsidP="001D3999">
      <w:pPr>
        <w:pStyle w:val="Heading2"/>
        <w:numPr>
          <w:ilvl w:val="0"/>
          <w:numId w:val="0"/>
        </w:numPr>
      </w:pPr>
      <w:bookmarkStart w:id="46" w:name="_Toc175228091"/>
      <w:r w:rsidRPr="00BC08D5">
        <w:lastRenderedPageBreak/>
        <w:t>Annex I</w:t>
      </w:r>
      <w:r w:rsidR="007A025D" w:rsidRPr="00BC08D5">
        <w:t>I</w:t>
      </w:r>
      <w:r w:rsidRPr="00BC08D5">
        <w:t xml:space="preserve">: </w:t>
      </w:r>
      <w:r w:rsidR="000E6315" w:rsidRPr="00BC08D5">
        <w:t>Data Sources Used in the Diagnostic Analysis</w:t>
      </w:r>
      <w:bookmarkEnd w:id="46"/>
    </w:p>
    <w:p w14:paraId="4AD86D1F" w14:textId="77777777" w:rsidR="00DF555C" w:rsidRDefault="00DF555C" w:rsidP="00DF555C"/>
    <w:p w14:paraId="2EF66529" w14:textId="0EE5272E" w:rsidR="00AC4391" w:rsidRPr="00345255" w:rsidRDefault="00BF61EA" w:rsidP="00A43C02">
      <w:pPr>
        <w:pStyle w:val="Heading4"/>
        <w:numPr>
          <w:ilvl w:val="0"/>
          <w:numId w:val="0"/>
        </w:numPr>
      </w:pPr>
      <w:r>
        <w:rPr>
          <w:rFonts w:cstheme="minorHAnsi"/>
          <w:iCs w:val="0"/>
        </w:rPr>
        <w:t xml:space="preserve">1. </w:t>
      </w:r>
      <w:r w:rsidR="000B4DD7" w:rsidRPr="00A43C02">
        <w:rPr>
          <w:rFonts w:cstheme="minorHAnsi"/>
          <w:iCs w:val="0"/>
        </w:rPr>
        <w:t xml:space="preserve">The </w:t>
      </w:r>
      <w:r w:rsidR="00DB5A00" w:rsidRPr="00A43C02">
        <w:rPr>
          <w:rFonts w:cstheme="minorHAnsi"/>
          <w:iCs w:val="0"/>
        </w:rPr>
        <w:t xml:space="preserve">analysis </w:t>
      </w:r>
      <w:r w:rsidR="00C13031" w:rsidRPr="00A43C02">
        <w:rPr>
          <w:rFonts w:cstheme="minorHAnsi"/>
          <w:iCs w:val="0"/>
        </w:rPr>
        <w:t>employ</w:t>
      </w:r>
      <w:r w:rsidR="00A81220" w:rsidRPr="00A43C02">
        <w:rPr>
          <w:rFonts w:cstheme="minorHAnsi"/>
          <w:iCs w:val="0"/>
        </w:rPr>
        <w:t>es the following databases:</w:t>
      </w:r>
      <w:r w:rsidR="00AC4391" w:rsidRPr="00345255">
        <w:t>1. World Development Indicators (WDI)</w:t>
      </w:r>
    </w:p>
    <w:p w14:paraId="3D93B222" w14:textId="77777777" w:rsidR="00AC4391" w:rsidRDefault="00AC4391" w:rsidP="00AC4391">
      <w:pPr>
        <w:jc w:val="both"/>
      </w:pPr>
      <w:r w:rsidRPr="00345255">
        <w:t xml:space="preserve">It is a compilation of relevant, high-quality, and internationally comparable statistics about global development and the fight against poverty. The database contains 1,400 time series indicators for 217 economies and more than 40 country groups, with data for many indicators going back more than 50 years. For access, visit </w:t>
      </w:r>
      <w:hyperlink r:id="rId36" w:history="1">
        <w:r w:rsidRPr="00E52A4C">
          <w:rPr>
            <w:rStyle w:val="Hyperlink"/>
          </w:rPr>
          <w:t>https://datatopics.worldbank.org/world-development-indicators/</w:t>
        </w:r>
      </w:hyperlink>
    </w:p>
    <w:p w14:paraId="49988FFC" w14:textId="4064DD7E" w:rsidR="00AC4391" w:rsidRDefault="00AC4391" w:rsidP="001D176C">
      <w:pPr>
        <w:pStyle w:val="Heading4"/>
        <w:numPr>
          <w:ilvl w:val="0"/>
          <w:numId w:val="0"/>
        </w:numPr>
      </w:pPr>
      <w:r>
        <w:t>2</w:t>
      </w:r>
      <w:r w:rsidRPr="00345255">
        <w:t xml:space="preserve">. </w:t>
      </w:r>
      <w:r>
        <w:t xml:space="preserve">Economic Census </w:t>
      </w:r>
      <w:r w:rsidR="002F164F">
        <w:t>and Surveys</w:t>
      </w:r>
      <w:r>
        <w:t xml:space="preserve">- </w:t>
      </w:r>
      <w:r w:rsidRPr="00345255">
        <w:t>General Statistics Office (GSO)</w:t>
      </w:r>
    </w:p>
    <w:p w14:paraId="7CD890C2" w14:textId="730471CF" w:rsidR="00AC4391" w:rsidRDefault="00AC4391" w:rsidP="00AC4391">
      <w:pPr>
        <w:jc w:val="both"/>
      </w:pPr>
      <w:r w:rsidRPr="00345255">
        <w:t>Firm-level unbalanced panel dataset merging the Viet</w:t>
      </w:r>
      <w:r w:rsidR="00AC3ED2">
        <w:t xml:space="preserve"> N</w:t>
      </w:r>
      <w:r w:rsidR="00AC3ED2" w:rsidRPr="00345255">
        <w:t>am</w:t>
      </w:r>
      <w:r w:rsidRPr="00345255">
        <w:t xml:space="preserve"> Economic Census implemented by the General Statistics Office (GSO) and Tax Administrative data (2015-19). </w:t>
      </w:r>
      <w:r>
        <w:t xml:space="preserve">For further information, </w:t>
      </w:r>
      <w:hyperlink r:id="rId37" w:history="1">
        <w:r w:rsidRPr="00E52A4C">
          <w:rPr>
            <w:rStyle w:val="Hyperlink"/>
          </w:rPr>
          <w:t>https://www.gso.gov.vn/en/economic-census/</w:t>
        </w:r>
      </w:hyperlink>
    </w:p>
    <w:p w14:paraId="0EB41323" w14:textId="77777777" w:rsidR="00AC4391" w:rsidRDefault="00AC4391" w:rsidP="001D176C">
      <w:pPr>
        <w:pStyle w:val="Heading4"/>
        <w:numPr>
          <w:ilvl w:val="0"/>
          <w:numId w:val="0"/>
        </w:numPr>
      </w:pPr>
      <w:r>
        <w:t>3</w:t>
      </w:r>
      <w:r w:rsidRPr="00345255">
        <w:t xml:space="preserve">. </w:t>
      </w:r>
      <w:r w:rsidRPr="00CD5E4F">
        <w:t>Private Sector Dynamics Database (PSDD)</w:t>
      </w:r>
      <w:r>
        <w:t xml:space="preserve"> – ICA 2.0</w:t>
      </w:r>
    </w:p>
    <w:p w14:paraId="2D4ED66B" w14:textId="77777777" w:rsidR="00AC4391" w:rsidRDefault="00AC4391" w:rsidP="00AC4391">
      <w:pPr>
        <w:jc w:val="both"/>
      </w:pPr>
      <w:r>
        <w:t>The new global Private Sector Dynamics Database (PSDD) benchmarks the firm and market dynamics driving productive investment across countries and over time. It provides a comprehensive set of standardized firm and market structure indicators from harmonized administrative data. The PSDD currently covers large firm panel data for more than 20 developing countries, including Vietnam. The coverage will grow organically with new ICA 2.0 pilots.</w:t>
      </w:r>
    </w:p>
    <w:p w14:paraId="4484A342" w14:textId="77777777" w:rsidR="00AC4391" w:rsidRDefault="00AC4391" w:rsidP="00AC4391">
      <w:pPr>
        <w:jc w:val="both"/>
      </w:pPr>
      <w:r>
        <w:t>The PSDD offers a menu of comparable aggregate indicators on private sector dynamics covering several economies worldwide. Indicators computed by the PSDD include:</w:t>
      </w:r>
    </w:p>
    <w:p w14:paraId="2F77F365" w14:textId="77777777" w:rsidR="00AC4391" w:rsidRDefault="00AC4391" w:rsidP="00AC4391">
      <w:pPr>
        <w:jc w:val="both"/>
      </w:pPr>
      <w:r>
        <w:t>• Aggregate private sector trends, including aggregate/average labor productivity, TFP, capital intensity, wages, energy intensity, etc.</w:t>
      </w:r>
    </w:p>
    <w:p w14:paraId="27C12A0E" w14:textId="77777777" w:rsidR="00AC4391" w:rsidRDefault="00AC4391" w:rsidP="00AC4391">
      <w:pPr>
        <w:jc w:val="both"/>
      </w:pPr>
      <w:r>
        <w:t>• Decomposition of aggregate productivity growth contributions from firm entry and exit, upgrading existing firms, growth of more productive firms (i.e., the extent of factor misallocation), and growth of more productive sectors (i.e., structural change).</w:t>
      </w:r>
    </w:p>
    <w:p w14:paraId="3877360D" w14:textId="77777777" w:rsidR="00AC4391" w:rsidRDefault="00AC4391" w:rsidP="00AC4391">
      <w:pPr>
        <w:jc w:val="both"/>
      </w:pPr>
      <w:r>
        <w:t>• Business dynamism, including firm density, firm entry and exit rates, jobs and productivity by firm age or size, job creation over firms’ lifecycle, distribution of firms’ markups, job reallocation rates, persistency of market leader status, etc.</w:t>
      </w:r>
    </w:p>
    <w:p w14:paraId="41734851" w14:textId="060AD794" w:rsidR="00AC4391" w:rsidRDefault="00AC4391" w:rsidP="001D176C">
      <w:pPr>
        <w:pStyle w:val="Heading4"/>
        <w:numPr>
          <w:ilvl w:val="0"/>
          <w:numId w:val="0"/>
        </w:numPr>
      </w:pPr>
      <w:r>
        <w:t>4</w:t>
      </w:r>
      <w:r w:rsidRPr="00345255">
        <w:t xml:space="preserve">. </w:t>
      </w:r>
      <w:r>
        <w:t>World Bank Enterprise Survey (WBES)</w:t>
      </w:r>
    </w:p>
    <w:p w14:paraId="7EAA1F44" w14:textId="5C26E408" w:rsidR="00AC4391" w:rsidRDefault="749B9792" w:rsidP="00D255A6">
      <w:pPr>
        <w:jc w:val="both"/>
      </w:pPr>
      <w:r>
        <w:t xml:space="preserve">The World Bank Enterprise Surveys (WBES) are firm-level surveys covering a representative sample of an economy’s private sector. The universe of inference includes all formal private sector businesses (with &gt;1% private ownership) with more than five employees. WBES </w:t>
      </w:r>
      <w:r w:rsidR="49B60450">
        <w:t>collects</w:t>
      </w:r>
      <w:r>
        <w:t xml:space="preserve"> data on firm characteristics and firm performance, and on a broad range of business environment topics. Data are collected through a standardized global methodology </w:t>
      </w:r>
      <w:hyperlink r:id="rId38">
        <w:r w:rsidR="13F46890" w:rsidRPr="15E5BA73">
          <w:rPr>
            <w:rStyle w:val="Hyperlink"/>
          </w:rPr>
          <w:t>methodology</w:t>
        </w:r>
      </w:hyperlink>
      <w:r w:rsidR="13F46890">
        <w:t xml:space="preserve"> </w:t>
      </w:r>
      <w:r>
        <w:t xml:space="preserve">that </w:t>
      </w:r>
      <w:r w:rsidR="409AAEC2">
        <w:t>allows us</w:t>
      </w:r>
      <w:r>
        <w:t xml:space="preserve"> to compare data over time and across countries. </w:t>
      </w:r>
      <w:r w:rsidR="13F46890">
        <w:t>across the world.</w:t>
      </w:r>
      <w:r w:rsidR="648D1E67">
        <w:t xml:space="preserve"> More i</w:t>
      </w:r>
      <w:r>
        <w:t xml:space="preserve">nformation </w:t>
      </w:r>
      <w:r w:rsidR="648D1E67">
        <w:t xml:space="preserve">on WBES methodology coverage </w:t>
      </w:r>
      <w:r w:rsidR="63564415">
        <w:t>is</w:t>
      </w:r>
      <w:r w:rsidR="648D1E67">
        <w:t xml:space="preserve"> available on the WBES website </w:t>
      </w:r>
      <w:hyperlink r:id="rId39">
        <w:r w:rsidR="13F46890" w:rsidRPr="15E5BA73">
          <w:rPr>
            <w:rStyle w:val="Hyperlink"/>
          </w:rPr>
          <w:t>https://www.enterprisesurveys.org/en/enterprisesurveys</w:t>
        </w:r>
      </w:hyperlink>
      <w:r w:rsidR="648D1E67">
        <w:t xml:space="preserve"> where indicators and firm-level data are also available.</w:t>
      </w:r>
    </w:p>
    <w:p w14:paraId="3DCFF758" w14:textId="77777777" w:rsidR="003D03AE" w:rsidRDefault="003D03AE" w:rsidP="00D255A6">
      <w:pPr>
        <w:jc w:val="both"/>
      </w:pPr>
    </w:p>
    <w:p w14:paraId="5920229F" w14:textId="77777777" w:rsidR="002C6C2A" w:rsidRDefault="002C6C2A" w:rsidP="00D255A6">
      <w:pPr>
        <w:jc w:val="both"/>
      </w:pPr>
    </w:p>
    <w:p w14:paraId="5F7E7DB8" w14:textId="667CF9DA" w:rsidR="00AC4391" w:rsidRPr="001D176C" w:rsidRDefault="00AC4391" w:rsidP="00AC4391">
      <w:pPr>
        <w:jc w:val="both"/>
        <w:rPr>
          <w:rFonts w:cstheme="minorHAnsi"/>
          <w:b/>
          <w:bCs/>
          <w:color w:val="4472C4" w:themeColor="accent1"/>
          <w:sz w:val="20"/>
          <w:szCs w:val="20"/>
        </w:rPr>
      </w:pPr>
      <w:r w:rsidRPr="001D176C">
        <w:rPr>
          <w:rFonts w:cstheme="minorHAnsi"/>
          <w:b/>
          <w:bCs/>
          <w:color w:val="4472C4" w:themeColor="accent1"/>
          <w:sz w:val="20"/>
          <w:szCs w:val="20"/>
        </w:rPr>
        <w:lastRenderedPageBreak/>
        <w:t xml:space="preserve">Figures </w:t>
      </w:r>
      <w:r w:rsidR="003A2B2A">
        <w:rPr>
          <w:rFonts w:cstheme="minorHAnsi"/>
          <w:b/>
          <w:bCs/>
          <w:color w:val="4472C4" w:themeColor="accent1"/>
          <w:sz w:val="20"/>
          <w:szCs w:val="20"/>
        </w:rPr>
        <w:t>II</w:t>
      </w:r>
      <w:r w:rsidRPr="00A43C02">
        <w:rPr>
          <w:rFonts w:cstheme="minorHAnsi"/>
          <w:b/>
          <w:bCs/>
          <w:color w:val="4472C4" w:themeColor="accent1"/>
          <w:sz w:val="20"/>
          <w:szCs w:val="20"/>
        </w:rPr>
        <w:t>.</w:t>
      </w:r>
      <w:r w:rsidR="004E6743">
        <w:rPr>
          <w:rFonts w:cstheme="minorHAnsi"/>
          <w:b/>
          <w:bCs/>
          <w:color w:val="4472C4" w:themeColor="accent1"/>
          <w:sz w:val="20"/>
          <w:szCs w:val="20"/>
        </w:rPr>
        <w:t xml:space="preserve">1 </w:t>
      </w:r>
      <w:r w:rsidRPr="00A43C02">
        <w:rPr>
          <w:rFonts w:cstheme="minorHAnsi"/>
          <w:b/>
          <w:bCs/>
          <w:color w:val="4472C4" w:themeColor="accent1"/>
          <w:sz w:val="20"/>
          <w:szCs w:val="20"/>
        </w:rPr>
        <w:t>sample composition by size and sector for Viet</w:t>
      </w:r>
      <w:r w:rsidR="00AC3ED2">
        <w:rPr>
          <w:rFonts w:cstheme="minorHAnsi"/>
          <w:b/>
          <w:bCs/>
          <w:color w:val="4472C4" w:themeColor="accent1"/>
          <w:sz w:val="20"/>
          <w:szCs w:val="20"/>
        </w:rPr>
        <w:t xml:space="preserve"> N</w:t>
      </w:r>
      <w:r w:rsidR="00AC3ED2" w:rsidRPr="00A43C02">
        <w:rPr>
          <w:rFonts w:cstheme="minorHAnsi"/>
          <w:b/>
          <w:bCs/>
          <w:color w:val="4472C4" w:themeColor="accent1"/>
          <w:sz w:val="20"/>
          <w:szCs w:val="20"/>
        </w:rPr>
        <w:t>am</w:t>
      </w:r>
      <w:r w:rsidRPr="00A43C02">
        <w:rPr>
          <w:rFonts w:cstheme="minorHAnsi"/>
          <w:b/>
          <w:bCs/>
          <w:color w:val="4472C4" w:themeColor="accent1"/>
          <w:sz w:val="20"/>
          <w:szCs w:val="20"/>
        </w:rPr>
        <w:t xml:space="preserve"> </w:t>
      </w:r>
      <w:r w:rsidR="004E6743">
        <w:rPr>
          <w:rFonts w:cstheme="minorHAnsi"/>
          <w:b/>
          <w:bCs/>
          <w:color w:val="4472C4" w:themeColor="accent1"/>
          <w:sz w:val="20"/>
          <w:szCs w:val="20"/>
        </w:rPr>
        <w:t xml:space="preserve">WBES </w:t>
      </w:r>
      <w:r w:rsidRPr="001D176C">
        <w:rPr>
          <w:rFonts w:cstheme="minorHAnsi"/>
          <w:b/>
          <w:bCs/>
          <w:color w:val="4472C4" w:themeColor="accent1"/>
          <w:sz w:val="20"/>
          <w:szCs w:val="20"/>
        </w:rPr>
        <w:t>2023.</w:t>
      </w:r>
    </w:p>
    <w:tbl>
      <w:tblPr>
        <w:tblStyle w:val="TableGrid"/>
        <w:tblW w:w="9367"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95"/>
        <w:gridCol w:w="236"/>
        <w:gridCol w:w="236"/>
        <w:gridCol w:w="4500"/>
      </w:tblGrid>
      <w:tr w:rsidR="00AC4391" w14:paraId="6BD18E44" w14:textId="77777777">
        <w:trPr>
          <w:trHeight w:val="300"/>
        </w:trPr>
        <w:tc>
          <w:tcPr>
            <w:tcW w:w="4395" w:type="dxa"/>
            <w:tcBorders>
              <w:top w:val="nil"/>
              <w:left w:val="nil"/>
              <w:bottom w:val="nil"/>
              <w:right w:val="nil"/>
            </w:tcBorders>
            <w:tcMar>
              <w:left w:w="105" w:type="dxa"/>
              <w:right w:w="105" w:type="dxa"/>
            </w:tcMar>
          </w:tcPr>
          <w:p w14:paraId="12A9EC2A" w14:textId="67D1455D" w:rsidR="00AC4391" w:rsidRPr="001D176C" w:rsidRDefault="00850F62" w:rsidP="001D176C">
            <w:pPr>
              <w:keepNext/>
              <w:keepLines/>
              <w:spacing w:before="120"/>
              <w:jc w:val="both"/>
              <w:rPr>
                <w:rFonts w:eastAsiaTheme="majorEastAsia" w:cstheme="minorHAnsi"/>
                <w:color w:val="2F5496" w:themeColor="accent1" w:themeShade="BF"/>
                <w:sz w:val="20"/>
                <w:szCs w:val="20"/>
              </w:rPr>
            </w:pPr>
            <w:bookmarkStart w:id="47" w:name="_Hlk161218161"/>
            <w:r>
              <w:rPr>
                <w:rFonts w:eastAsiaTheme="majorEastAsia" w:cstheme="minorHAnsi"/>
                <w:color w:val="2F5496" w:themeColor="accent1" w:themeShade="BF"/>
                <w:sz w:val="20"/>
                <w:szCs w:val="20"/>
              </w:rPr>
              <w:t>a</w:t>
            </w:r>
            <w:r w:rsidR="00AC4391" w:rsidRPr="001D176C">
              <w:rPr>
                <w:rFonts w:eastAsiaTheme="majorEastAsia" w:cstheme="minorHAnsi"/>
                <w:color w:val="2F5496" w:themeColor="accent1" w:themeShade="BF"/>
                <w:sz w:val="20"/>
                <w:szCs w:val="20"/>
              </w:rPr>
              <w:t>. Sample composition, by size</w:t>
            </w:r>
          </w:p>
        </w:tc>
        <w:tc>
          <w:tcPr>
            <w:tcW w:w="236" w:type="dxa"/>
            <w:tcBorders>
              <w:top w:val="nil"/>
              <w:left w:val="nil"/>
              <w:bottom w:val="nil"/>
              <w:right w:val="nil"/>
            </w:tcBorders>
            <w:tcMar>
              <w:left w:w="105" w:type="dxa"/>
              <w:right w:w="105" w:type="dxa"/>
            </w:tcMar>
          </w:tcPr>
          <w:p w14:paraId="1BD5C573" w14:textId="77777777" w:rsidR="00AC4391" w:rsidRPr="001D176C" w:rsidRDefault="00AC4391" w:rsidP="001D176C">
            <w:pPr>
              <w:keepNext/>
              <w:keepLines/>
              <w:spacing w:before="120"/>
              <w:jc w:val="both"/>
              <w:rPr>
                <w:rFonts w:eastAsiaTheme="majorEastAsia" w:cstheme="minorHAnsi"/>
                <w:color w:val="2F5496" w:themeColor="accent1" w:themeShade="BF"/>
                <w:sz w:val="20"/>
                <w:szCs w:val="20"/>
              </w:rPr>
            </w:pPr>
          </w:p>
        </w:tc>
        <w:tc>
          <w:tcPr>
            <w:tcW w:w="236" w:type="dxa"/>
            <w:tcBorders>
              <w:top w:val="nil"/>
              <w:left w:val="nil"/>
              <w:bottom w:val="nil"/>
              <w:right w:val="nil"/>
            </w:tcBorders>
            <w:tcMar>
              <w:left w:w="105" w:type="dxa"/>
              <w:right w:w="105" w:type="dxa"/>
            </w:tcMar>
          </w:tcPr>
          <w:p w14:paraId="73049D79" w14:textId="77777777" w:rsidR="00AC4391" w:rsidRPr="001D176C" w:rsidRDefault="00AC4391" w:rsidP="001D176C">
            <w:pPr>
              <w:keepNext/>
              <w:keepLines/>
              <w:spacing w:before="120"/>
              <w:jc w:val="both"/>
              <w:rPr>
                <w:rFonts w:eastAsiaTheme="majorEastAsia" w:cstheme="minorHAnsi"/>
                <w:color w:val="2F5496" w:themeColor="accent1" w:themeShade="BF"/>
                <w:sz w:val="20"/>
                <w:szCs w:val="20"/>
              </w:rPr>
            </w:pPr>
          </w:p>
        </w:tc>
        <w:tc>
          <w:tcPr>
            <w:tcW w:w="4500" w:type="dxa"/>
            <w:tcBorders>
              <w:top w:val="nil"/>
              <w:left w:val="nil"/>
              <w:bottom w:val="nil"/>
              <w:right w:val="nil"/>
            </w:tcBorders>
            <w:tcMar>
              <w:left w:w="105" w:type="dxa"/>
              <w:right w:w="105" w:type="dxa"/>
            </w:tcMar>
          </w:tcPr>
          <w:p w14:paraId="131A1CDA" w14:textId="625EFB84" w:rsidR="00AC4391" w:rsidRPr="001D176C" w:rsidRDefault="00850F62" w:rsidP="001D176C">
            <w:pPr>
              <w:keepNext/>
              <w:keepLines/>
              <w:spacing w:before="120"/>
              <w:jc w:val="both"/>
              <w:rPr>
                <w:rFonts w:eastAsiaTheme="majorEastAsia" w:cstheme="minorHAnsi"/>
                <w:color w:val="2F5496" w:themeColor="accent1" w:themeShade="BF"/>
                <w:sz w:val="20"/>
                <w:szCs w:val="20"/>
              </w:rPr>
            </w:pPr>
            <w:r>
              <w:rPr>
                <w:rFonts w:eastAsiaTheme="majorEastAsia" w:cstheme="minorHAnsi"/>
                <w:color w:val="2F5496" w:themeColor="accent1" w:themeShade="BF"/>
                <w:sz w:val="20"/>
                <w:szCs w:val="20"/>
              </w:rPr>
              <w:t>b</w:t>
            </w:r>
            <w:r w:rsidR="00AC4391" w:rsidRPr="001D176C">
              <w:rPr>
                <w:rFonts w:eastAsiaTheme="majorEastAsia" w:cstheme="minorHAnsi"/>
                <w:color w:val="2F5496" w:themeColor="accent1" w:themeShade="BF"/>
                <w:sz w:val="20"/>
                <w:szCs w:val="20"/>
              </w:rPr>
              <w:t xml:space="preserve"> Sample composition, by sector</w:t>
            </w:r>
          </w:p>
        </w:tc>
      </w:tr>
      <w:tr w:rsidR="00AC4391" w14:paraId="16DCD228" w14:textId="77777777">
        <w:trPr>
          <w:trHeight w:val="2385"/>
        </w:trPr>
        <w:tc>
          <w:tcPr>
            <w:tcW w:w="4395" w:type="dxa"/>
            <w:tcBorders>
              <w:top w:val="nil"/>
              <w:left w:val="nil"/>
              <w:bottom w:val="nil"/>
              <w:right w:val="nil"/>
            </w:tcBorders>
          </w:tcPr>
          <w:p w14:paraId="614BB3F2" w14:textId="77777777" w:rsidR="00AC4391" w:rsidRDefault="00AC4391">
            <w:pPr>
              <w:widowControl w:val="0"/>
              <w:spacing w:before="120" w:line="259" w:lineRule="auto"/>
              <w:rPr>
                <w:rFonts w:ascii="Calibri Light" w:eastAsia="Calibri Light" w:hAnsi="Calibri Light" w:cs="Calibri Light"/>
                <w:color w:val="000000" w:themeColor="text1"/>
              </w:rPr>
            </w:pPr>
            <w:r>
              <w:rPr>
                <w:b/>
                <w:bCs/>
                <w:noProof/>
              </w:rPr>
              <w:drawing>
                <wp:inline distT="0" distB="0" distL="0" distR="0" wp14:anchorId="473CAB4F" wp14:editId="7D84BE73">
                  <wp:extent cx="2700528" cy="179197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5749" cy="1795434"/>
                          </a:xfrm>
                          <a:prstGeom prst="rect">
                            <a:avLst/>
                          </a:prstGeom>
                          <a:noFill/>
                        </pic:spPr>
                      </pic:pic>
                    </a:graphicData>
                  </a:graphic>
                </wp:inline>
              </w:drawing>
            </w:r>
          </w:p>
        </w:tc>
        <w:tc>
          <w:tcPr>
            <w:tcW w:w="236" w:type="dxa"/>
            <w:tcBorders>
              <w:top w:val="nil"/>
              <w:left w:val="nil"/>
              <w:bottom w:val="nil"/>
              <w:right w:val="nil"/>
            </w:tcBorders>
          </w:tcPr>
          <w:p w14:paraId="304344D3" w14:textId="77777777" w:rsidR="00AC4391" w:rsidRDefault="00AC4391">
            <w:pPr>
              <w:widowControl w:val="0"/>
              <w:spacing w:before="120" w:line="259" w:lineRule="auto"/>
              <w:rPr>
                <w:rFonts w:ascii="Calibri Light" w:eastAsia="Calibri Light" w:hAnsi="Calibri Light" w:cs="Calibri Light"/>
                <w:color w:val="000000" w:themeColor="text1"/>
              </w:rPr>
            </w:pPr>
          </w:p>
        </w:tc>
        <w:tc>
          <w:tcPr>
            <w:tcW w:w="236" w:type="dxa"/>
            <w:tcBorders>
              <w:top w:val="nil"/>
              <w:left w:val="nil"/>
              <w:bottom w:val="nil"/>
              <w:right w:val="nil"/>
            </w:tcBorders>
          </w:tcPr>
          <w:p w14:paraId="1FB41A70" w14:textId="77777777" w:rsidR="00AC4391" w:rsidRDefault="00AC4391">
            <w:pPr>
              <w:widowControl w:val="0"/>
              <w:spacing w:before="120" w:line="259" w:lineRule="auto"/>
              <w:rPr>
                <w:rFonts w:ascii="Calibri Light" w:eastAsia="Calibri Light" w:hAnsi="Calibri Light" w:cs="Calibri Light"/>
                <w:color w:val="000000" w:themeColor="text1"/>
              </w:rPr>
            </w:pPr>
          </w:p>
        </w:tc>
        <w:tc>
          <w:tcPr>
            <w:tcW w:w="4500" w:type="dxa"/>
            <w:tcBorders>
              <w:top w:val="nil"/>
              <w:left w:val="nil"/>
              <w:bottom w:val="nil"/>
              <w:right w:val="nil"/>
            </w:tcBorders>
          </w:tcPr>
          <w:p w14:paraId="5B66EE9D" w14:textId="70E3E505" w:rsidR="00AC4391" w:rsidRDefault="004E6743">
            <w:pPr>
              <w:widowControl w:val="0"/>
              <w:spacing w:before="120" w:line="259" w:lineRule="auto"/>
              <w:jc w:val="right"/>
              <w:rPr>
                <w:rFonts w:ascii="Calibri Light" w:eastAsia="Calibri Light" w:hAnsi="Calibri Light" w:cs="Calibri Light"/>
                <w:color w:val="000000" w:themeColor="text1"/>
              </w:rPr>
            </w:pPr>
            <w:r w:rsidRPr="004469E3">
              <w:rPr>
                <w:b/>
                <w:bCs/>
                <w:noProof/>
              </w:rPr>
              <w:drawing>
                <wp:inline distT="0" distB="0" distL="0" distR="0" wp14:anchorId="694A3A6C" wp14:editId="5FB020FE">
                  <wp:extent cx="2706624" cy="1791970"/>
                  <wp:effectExtent l="0" t="0" r="0" b="0"/>
                  <wp:docPr id="45" name="Picture 45">
                    <a:extLst xmlns:a="http://schemas.openxmlformats.org/drawingml/2006/main">
                      <a:ext uri="{FF2B5EF4-FFF2-40B4-BE49-F238E27FC236}">
                        <a16:creationId xmlns:a16="http://schemas.microsoft.com/office/drawing/2014/main" id="{925EEBB7-E59D-A30D-0419-0D23B97B0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25EEBB7-E59D-A30D-0419-0D23B97B0EBE}"/>
                              </a:ext>
                            </a:extLst>
                          </pic:cNvPr>
                          <pic:cNvPicPr>
                            <a:picLocks noChangeAspect="1"/>
                          </pic:cNvPicPr>
                        </pic:nvPicPr>
                        <pic:blipFill>
                          <a:blip r:embed="rId41"/>
                          <a:stretch>
                            <a:fillRect/>
                          </a:stretch>
                        </pic:blipFill>
                        <pic:spPr>
                          <a:xfrm>
                            <a:off x="0" y="0"/>
                            <a:ext cx="2706624" cy="1791970"/>
                          </a:xfrm>
                          <a:prstGeom prst="rect">
                            <a:avLst/>
                          </a:prstGeom>
                        </pic:spPr>
                      </pic:pic>
                    </a:graphicData>
                  </a:graphic>
                </wp:inline>
              </w:drawing>
            </w:r>
          </w:p>
        </w:tc>
      </w:tr>
      <w:tr w:rsidR="00AC4391" w14:paraId="37815FA0" w14:textId="77777777">
        <w:trPr>
          <w:trHeight w:val="300"/>
        </w:trPr>
        <w:tc>
          <w:tcPr>
            <w:tcW w:w="4395" w:type="dxa"/>
            <w:tcBorders>
              <w:top w:val="nil"/>
              <w:left w:val="nil"/>
              <w:bottom w:val="nil"/>
              <w:right w:val="nil"/>
            </w:tcBorders>
            <w:tcMar>
              <w:left w:w="105" w:type="dxa"/>
              <w:right w:w="105" w:type="dxa"/>
            </w:tcMar>
          </w:tcPr>
          <w:p w14:paraId="30770932" w14:textId="77777777" w:rsidR="00AC4391" w:rsidRDefault="00AC4391">
            <w:pPr>
              <w:tabs>
                <w:tab w:val="left" w:pos="450"/>
              </w:tabs>
              <w:spacing w:line="259" w:lineRule="auto"/>
              <w:rPr>
                <w:rFonts w:ascii="Calibri Light" w:eastAsia="Calibri Light" w:hAnsi="Calibri Light" w:cs="Calibri Light"/>
                <w:color w:val="7F7F7F" w:themeColor="text1" w:themeTint="80"/>
                <w:sz w:val="20"/>
                <w:szCs w:val="20"/>
              </w:rPr>
            </w:pPr>
            <w:r w:rsidRPr="10A81751">
              <w:rPr>
                <w:rStyle w:val="normaltextrun"/>
                <w:rFonts w:ascii="Calibri Light" w:eastAsia="Calibri Light" w:hAnsi="Calibri Light" w:cs="Calibri Light"/>
                <w:i/>
                <w:iCs/>
                <w:color w:val="7F7F7F" w:themeColor="text1" w:themeTint="80"/>
                <w:sz w:val="20"/>
                <w:szCs w:val="20"/>
              </w:rPr>
              <w:t xml:space="preserve">Source: </w:t>
            </w:r>
            <w:r>
              <w:rPr>
                <w:rStyle w:val="normaltextrun"/>
                <w:rFonts w:ascii="Calibri Light" w:eastAsia="Calibri Light" w:hAnsi="Calibri Light" w:cs="Calibri Light"/>
                <w:i/>
                <w:iCs/>
                <w:color w:val="7F7F7F" w:themeColor="text1" w:themeTint="80"/>
                <w:sz w:val="20"/>
                <w:szCs w:val="20"/>
              </w:rPr>
              <w:t>World Bank Enterprise Survey.</w:t>
            </w:r>
            <w:r w:rsidRPr="10A81751">
              <w:rPr>
                <w:rStyle w:val="normaltextrun"/>
                <w:rFonts w:ascii="Calibri Light" w:eastAsia="Calibri Light" w:hAnsi="Calibri Light" w:cs="Calibri Light"/>
                <w:i/>
                <w:iCs/>
                <w:color w:val="7F7F7F" w:themeColor="text1" w:themeTint="80"/>
                <w:sz w:val="20"/>
                <w:szCs w:val="20"/>
              </w:rPr>
              <w:t xml:space="preserve"> </w:t>
            </w:r>
          </w:p>
          <w:p w14:paraId="61A893A3" w14:textId="77777777" w:rsidR="00AC4391" w:rsidRDefault="00AC4391">
            <w:pPr>
              <w:tabs>
                <w:tab w:val="left" w:pos="450"/>
              </w:tabs>
              <w:spacing w:line="259" w:lineRule="auto"/>
              <w:jc w:val="both"/>
              <w:rPr>
                <w:rFonts w:ascii="Calibri Light" w:eastAsia="Calibri Light" w:hAnsi="Calibri Light" w:cs="Calibri Light"/>
                <w:color w:val="7F7F7F" w:themeColor="text1" w:themeTint="80"/>
                <w:sz w:val="20"/>
                <w:szCs w:val="20"/>
              </w:rPr>
            </w:pPr>
            <w:r w:rsidRPr="10A81751">
              <w:rPr>
                <w:rStyle w:val="normaltextrun"/>
                <w:rFonts w:ascii="Calibri Light" w:eastAsia="Calibri Light" w:hAnsi="Calibri Light" w:cs="Calibri Light"/>
                <w:i/>
                <w:iCs/>
                <w:color w:val="7F7F7F" w:themeColor="text1" w:themeTint="80"/>
                <w:sz w:val="20"/>
                <w:szCs w:val="20"/>
              </w:rPr>
              <w:t xml:space="preserve">Note: </w:t>
            </w:r>
            <w:r>
              <w:rPr>
                <w:rStyle w:val="normaltextrun"/>
                <w:rFonts w:ascii="Calibri Light" w:eastAsia="Calibri Light" w:hAnsi="Calibri Light" w:cs="Calibri Light"/>
                <w:i/>
                <w:iCs/>
                <w:color w:val="7F7F7F" w:themeColor="text1" w:themeTint="80"/>
                <w:sz w:val="20"/>
                <w:szCs w:val="20"/>
              </w:rPr>
              <w:t>Sample size: 1,028 observations.</w:t>
            </w:r>
          </w:p>
        </w:tc>
        <w:tc>
          <w:tcPr>
            <w:tcW w:w="236" w:type="dxa"/>
            <w:tcBorders>
              <w:top w:val="nil"/>
              <w:left w:val="nil"/>
              <w:bottom w:val="nil"/>
              <w:right w:val="nil"/>
            </w:tcBorders>
            <w:tcMar>
              <w:left w:w="105" w:type="dxa"/>
              <w:right w:w="105" w:type="dxa"/>
            </w:tcMar>
          </w:tcPr>
          <w:p w14:paraId="1B34B134" w14:textId="77777777" w:rsidR="00AC4391" w:rsidRDefault="00AC4391">
            <w:pPr>
              <w:tabs>
                <w:tab w:val="left" w:pos="450"/>
              </w:tabs>
              <w:spacing w:line="259" w:lineRule="auto"/>
              <w:rPr>
                <w:rFonts w:ascii="Calibri Light" w:eastAsia="Calibri Light" w:hAnsi="Calibri Light" w:cs="Calibri Light"/>
                <w:color w:val="7F7F7F" w:themeColor="text1" w:themeTint="80"/>
                <w:sz w:val="20"/>
                <w:szCs w:val="20"/>
              </w:rPr>
            </w:pPr>
          </w:p>
        </w:tc>
        <w:tc>
          <w:tcPr>
            <w:tcW w:w="236" w:type="dxa"/>
            <w:tcBorders>
              <w:top w:val="nil"/>
              <w:left w:val="nil"/>
              <w:bottom w:val="nil"/>
              <w:right w:val="nil"/>
            </w:tcBorders>
            <w:tcMar>
              <w:left w:w="105" w:type="dxa"/>
              <w:right w:w="105" w:type="dxa"/>
            </w:tcMar>
          </w:tcPr>
          <w:p w14:paraId="4F7EDB53" w14:textId="77777777" w:rsidR="00AC4391" w:rsidRDefault="00AC4391">
            <w:pPr>
              <w:tabs>
                <w:tab w:val="left" w:pos="450"/>
              </w:tabs>
              <w:spacing w:line="259" w:lineRule="auto"/>
              <w:rPr>
                <w:rFonts w:ascii="Calibri Light" w:eastAsia="Calibri Light" w:hAnsi="Calibri Light" w:cs="Calibri Light"/>
                <w:color w:val="7F7F7F" w:themeColor="text1" w:themeTint="80"/>
                <w:sz w:val="20"/>
                <w:szCs w:val="20"/>
              </w:rPr>
            </w:pPr>
          </w:p>
        </w:tc>
        <w:tc>
          <w:tcPr>
            <w:tcW w:w="4500" w:type="dxa"/>
            <w:tcBorders>
              <w:top w:val="nil"/>
              <w:left w:val="nil"/>
              <w:bottom w:val="nil"/>
              <w:right w:val="nil"/>
            </w:tcBorders>
            <w:tcMar>
              <w:left w:w="105" w:type="dxa"/>
              <w:right w:w="105" w:type="dxa"/>
            </w:tcMar>
          </w:tcPr>
          <w:p w14:paraId="50B0EB46" w14:textId="77777777" w:rsidR="00AC4391" w:rsidRDefault="00AC4391">
            <w:pPr>
              <w:tabs>
                <w:tab w:val="left" w:pos="450"/>
              </w:tabs>
              <w:spacing w:line="259" w:lineRule="auto"/>
              <w:rPr>
                <w:rFonts w:ascii="Calibri Light" w:eastAsia="Calibri Light" w:hAnsi="Calibri Light" w:cs="Calibri Light"/>
                <w:color w:val="7F7F7F" w:themeColor="text1" w:themeTint="80"/>
                <w:sz w:val="20"/>
                <w:szCs w:val="20"/>
              </w:rPr>
            </w:pPr>
            <w:r w:rsidRPr="10A81751">
              <w:rPr>
                <w:rStyle w:val="normaltextrun"/>
                <w:rFonts w:ascii="Calibri Light" w:eastAsia="Calibri Light" w:hAnsi="Calibri Light" w:cs="Calibri Light"/>
                <w:i/>
                <w:iCs/>
                <w:color w:val="7F7F7F" w:themeColor="text1" w:themeTint="80"/>
                <w:sz w:val="20"/>
                <w:szCs w:val="20"/>
              </w:rPr>
              <w:t xml:space="preserve">Source: </w:t>
            </w:r>
            <w:r>
              <w:rPr>
                <w:rStyle w:val="normaltextrun"/>
                <w:rFonts w:ascii="Calibri Light" w:eastAsia="Calibri Light" w:hAnsi="Calibri Light" w:cs="Calibri Light"/>
                <w:i/>
                <w:iCs/>
                <w:color w:val="7F7F7F" w:themeColor="text1" w:themeTint="80"/>
                <w:sz w:val="20"/>
                <w:szCs w:val="20"/>
              </w:rPr>
              <w:t>World Bank Enterprise Survey.</w:t>
            </w:r>
            <w:r w:rsidRPr="10A81751">
              <w:rPr>
                <w:rStyle w:val="normaltextrun"/>
                <w:rFonts w:ascii="Calibri Light" w:eastAsia="Calibri Light" w:hAnsi="Calibri Light" w:cs="Calibri Light"/>
                <w:i/>
                <w:iCs/>
                <w:color w:val="7F7F7F" w:themeColor="text1" w:themeTint="80"/>
                <w:sz w:val="20"/>
                <w:szCs w:val="20"/>
              </w:rPr>
              <w:t xml:space="preserve"> </w:t>
            </w:r>
          </w:p>
          <w:p w14:paraId="2E3EBA64" w14:textId="77777777" w:rsidR="00AC4391" w:rsidRDefault="00AC4391">
            <w:pPr>
              <w:widowControl w:val="0"/>
              <w:spacing w:line="259" w:lineRule="auto"/>
              <w:jc w:val="both"/>
              <w:rPr>
                <w:rFonts w:ascii="Calibri Light" w:eastAsia="Calibri Light" w:hAnsi="Calibri Light" w:cs="Calibri Light"/>
                <w:color w:val="7F7F7F" w:themeColor="text1" w:themeTint="80"/>
                <w:sz w:val="20"/>
                <w:szCs w:val="20"/>
              </w:rPr>
            </w:pPr>
            <w:r w:rsidRPr="10A81751">
              <w:rPr>
                <w:rStyle w:val="normaltextrun"/>
                <w:rFonts w:ascii="Calibri Light" w:eastAsia="Calibri Light" w:hAnsi="Calibri Light" w:cs="Calibri Light"/>
                <w:i/>
                <w:iCs/>
                <w:color w:val="7F7F7F" w:themeColor="text1" w:themeTint="80"/>
                <w:sz w:val="20"/>
                <w:szCs w:val="20"/>
              </w:rPr>
              <w:t xml:space="preserve">Note: </w:t>
            </w:r>
            <w:r>
              <w:rPr>
                <w:rStyle w:val="normaltextrun"/>
                <w:rFonts w:ascii="Calibri Light" w:eastAsia="Calibri Light" w:hAnsi="Calibri Light" w:cs="Calibri Light"/>
                <w:i/>
                <w:iCs/>
                <w:color w:val="7F7F7F" w:themeColor="text1" w:themeTint="80"/>
                <w:sz w:val="20"/>
                <w:szCs w:val="20"/>
              </w:rPr>
              <w:t>Sample size: 1,028 observations.</w:t>
            </w:r>
          </w:p>
        </w:tc>
      </w:tr>
    </w:tbl>
    <w:p w14:paraId="793E5A08" w14:textId="77777777" w:rsidR="00AC4391" w:rsidRDefault="00AC4391" w:rsidP="00AC4391">
      <w:pPr>
        <w:rPr>
          <w:highlight w:val="yellow"/>
        </w:rPr>
      </w:pPr>
    </w:p>
    <w:p w14:paraId="542B9C7A" w14:textId="77777777" w:rsidR="00AC4391" w:rsidRDefault="00AC4391" w:rsidP="00AC4391">
      <w:pPr>
        <w:rPr>
          <w:b/>
          <w:bCs/>
        </w:rPr>
      </w:pPr>
      <w:r>
        <w:rPr>
          <w:noProof/>
        </w:rPr>
        <w:tab/>
      </w:r>
    </w:p>
    <w:p w14:paraId="281EDFB2" w14:textId="638A0CD7" w:rsidR="00AC4391" w:rsidRPr="00834FF4" w:rsidRDefault="00AC4391" w:rsidP="00AC4391">
      <w:pPr>
        <w:spacing w:after="0"/>
        <w:jc w:val="both"/>
      </w:pPr>
      <w:r>
        <w:t>The survey implementation in Viet</w:t>
      </w:r>
      <w:r w:rsidR="00AC3ED2">
        <w:t xml:space="preserve"> Nam</w:t>
      </w:r>
      <w:r>
        <w:t xml:space="preserve"> 2023 is as follows:</w:t>
      </w:r>
    </w:p>
    <w:p w14:paraId="43786E4E" w14:textId="77777777" w:rsidR="00AC4391" w:rsidRDefault="00AC4391" w:rsidP="00AC4391">
      <w:pPr>
        <w:spacing w:after="0"/>
        <w:jc w:val="both"/>
        <w:rPr>
          <w:highlight w:val="yellow"/>
        </w:rPr>
      </w:pPr>
    </w:p>
    <w:p w14:paraId="7E2C7A7A" w14:textId="77777777" w:rsidR="00AC4391" w:rsidRDefault="00AC4391" w:rsidP="00AC4391">
      <w:pPr>
        <w:pStyle w:val="ListParagraph"/>
        <w:numPr>
          <w:ilvl w:val="0"/>
          <w:numId w:val="17"/>
        </w:numPr>
        <w:spacing w:after="0"/>
        <w:jc w:val="both"/>
      </w:pPr>
      <w:r w:rsidRPr="00A1117E">
        <w:t xml:space="preserve">Fieldwork duration: </w:t>
      </w:r>
      <w:r>
        <w:t xml:space="preserve">April 2023 </w:t>
      </w:r>
      <w:r w:rsidRPr="00A1117E">
        <w:t xml:space="preserve">and </w:t>
      </w:r>
      <w:r>
        <w:t>October</w:t>
      </w:r>
      <w:r w:rsidRPr="00A1117E">
        <w:t xml:space="preserve"> 202</w:t>
      </w:r>
      <w:r>
        <w:t>3</w:t>
      </w:r>
      <w:r w:rsidRPr="00A1117E">
        <w:t>.</w:t>
      </w:r>
    </w:p>
    <w:p w14:paraId="0B6399DA" w14:textId="77777777" w:rsidR="00AC4391" w:rsidRDefault="00AC4391" w:rsidP="00AC4391">
      <w:pPr>
        <w:pStyle w:val="ListParagraph"/>
        <w:numPr>
          <w:ilvl w:val="0"/>
          <w:numId w:val="17"/>
        </w:numPr>
        <w:spacing w:after="0"/>
        <w:jc w:val="both"/>
      </w:pPr>
      <w:r w:rsidRPr="00A1117E">
        <w:t xml:space="preserve">Sample frame source: </w:t>
      </w:r>
      <w:r w:rsidRPr="005C14C3">
        <w:t>General Statistics Office of Vietnam</w:t>
      </w:r>
    </w:p>
    <w:p w14:paraId="0711F9AB" w14:textId="77777777" w:rsidR="00AC4391" w:rsidRDefault="00AC4391" w:rsidP="00AC4391">
      <w:pPr>
        <w:pStyle w:val="ListParagraph"/>
        <w:numPr>
          <w:ilvl w:val="0"/>
          <w:numId w:val="17"/>
        </w:numPr>
        <w:spacing w:after="0"/>
        <w:jc w:val="both"/>
      </w:pPr>
      <w:r>
        <w:t xml:space="preserve">Stratification sectors: </w:t>
      </w:r>
      <w:r w:rsidRPr="005E0B70">
        <w:t>Manufacturing of: Food, Garments, Fabricated Metal Products, Other manufacturing; Construction, Retail, Hotels, and Other Services</w:t>
      </w:r>
      <w:r>
        <w:t>.</w:t>
      </w:r>
    </w:p>
    <w:p w14:paraId="57A3D4CF" w14:textId="77777777" w:rsidR="00AC4391" w:rsidRDefault="00AC4391" w:rsidP="00AC4391">
      <w:pPr>
        <w:pStyle w:val="ListParagraph"/>
        <w:numPr>
          <w:ilvl w:val="0"/>
          <w:numId w:val="17"/>
        </w:numPr>
        <w:spacing w:after="0"/>
        <w:jc w:val="both"/>
      </w:pPr>
      <w:r>
        <w:t xml:space="preserve">Stratification sizes: </w:t>
      </w:r>
      <w:r w:rsidRPr="00570DCB">
        <w:t>Small (5 to 19 employees), Medium (20 to 99 employees), and Large (100 and more employees)</w:t>
      </w:r>
      <w:r>
        <w:t>.</w:t>
      </w:r>
    </w:p>
    <w:p w14:paraId="4327F22D" w14:textId="77777777" w:rsidR="00AC4391" w:rsidRDefault="00AC4391" w:rsidP="00AC4391">
      <w:pPr>
        <w:pStyle w:val="ListParagraph"/>
        <w:numPr>
          <w:ilvl w:val="0"/>
          <w:numId w:val="17"/>
        </w:numPr>
        <w:spacing w:after="0"/>
        <w:jc w:val="both"/>
      </w:pPr>
      <w:r>
        <w:t xml:space="preserve">Stratification regions: </w:t>
      </w:r>
      <w:r w:rsidRPr="00F66F40">
        <w:t>Northern Central region, the Central Coast, Central Highlands; Red River Delta; Northern Midlands and Mountains; Southeast; Mekong River Delta</w:t>
      </w:r>
      <w:r>
        <w:t>.</w:t>
      </w:r>
    </w:p>
    <w:p w14:paraId="6E826E2E" w14:textId="77777777" w:rsidR="00AC4391" w:rsidRDefault="00AC4391" w:rsidP="00AC4391">
      <w:pPr>
        <w:pStyle w:val="ListParagraph"/>
        <w:numPr>
          <w:ilvl w:val="0"/>
          <w:numId w:val="17"/>
        </w:numPr>
        <w:spacing w:after="0"/>
        <w:jc w:val="both"/>
      </w:pPr>
      <w:r w:rsidRPr="00A1117E">
        <w:t xml:space="preserve">Survey implementation agency: </w:t>
      </w:r>
      <w:r w:rsidRPr="00050B0C">
        <w:t>Mekong Economics LTD</w:t>
      </w:r>
      <w:r w:rsidRPr="00A1117E">
        <w:t xml:space="preserve"> </w:t>
      </w:r>
    </w:p>
    <w:p w14:paraId="1CC9BFA4" w14:textId="77777777" w:rsidR="00AC4391" w:rsidRDefault="00AC4391" w:rsidP="00AC4391">
      <w:pPr>
        <w:pStyle w:val="ListParagraph"/>
        <w:numPr>
          <w:ilvl w:val="0"/>
          <w:numId w:val="17"/>
        </w:numPr>
        <w:spacing w:after="0"/>
        <w:jc w:val="both"/>
      </w:pPr>
      <w:r>
        <w:t>Sample size: 1,028. Fresh: 772. Panel: 256.</w:t>
      </w:r>
    </w:p>
    <w:p w14:paraId="02C9C3D5" w14:textId="77777777" w:rsidR="00AC4391" w:rsidRPr="00A1117E" w:rsidRDefault="00AC4391" w:rsidP="00AC4391">
      <w:pPr>
        <w:pStyle w:val="ListParagraph"/>
        <w:numPr>
          <w:ilvl w:val="0"/>
          <w:numId w:val="17"/>
        </w:numPr>
        <w:spacing w:after="0"/>
        <w:jc w:val="both"/>
      </w:pPr>
      <w:r>
        <w:t xml:space="preserve">Survey response rates: Yield: 23.6%, Response rate: 31.7%, Frame quality: 74.3%. </w:t>
      </w:r>
    </w:p>
    <w:p w14:paraId="116A8046" w14:textId="77777777" w:rsidR="00AC4391" w:rsidRPr="00A1117E" w:rsidRDefault="00AC4391" w:rsidP="00AC4391">
      <w:pPr>
        <w:numPr>
          <w:ilvl w:val="0"/>
          <w:numId w:val="16"/>
        </w:numPr>
        <w:spacing w:after="0"/>
        <w:jc w:val="both"/>
      </w:pPr>
      <w:r w:rsidRPr="00A1117E">
        <w:t xml:space="preserve">Some item response rates: </w:t>
      </w:r>
    </w:p>
    <w:p w14:paraId="3DC7B242" w14:textId="77777777" w:rsidR="00AC4391" w:rsidRPr="00A1117E" w:rsidRDefault="00AC4391" w:rsidP="00AC4391">
      <w:pPr>
        <w:numPr>
          <w:ilvl w:val="1"/>
          <w:numId w:val="16"/>
        </w:numPr>
        <w:spacing w:after="0"/>
        <w:jc w:val="both"/>
      </w:pPr>
      <w:r w:rsidRPr="00EE0427">
        <w:t>Total annual sales in fiscal year</w:t>
      </w:r>
      <w:r w:rsidRPr="00A1117E">
        <w:t>: 99</w:t>
      </w:r>
      <w:r>
        <w:t>.7</w:t>
      </w:r>
      <w:r w:rsidRPr="00A1117E">
        <w:t>% response</w:t>
      </w:r>
      <w:r>
        <w:t>.</w:t>
      </w:r>
    </w:p>
    <w:p w14:paraId="310E5AA1" w14:textId="77777777" w:rsidR="00AC4391" w:rsidRDefault="00AC4391" w:rsidP="00AC4391">
      <w:pPr>
        <w:numPr>
          <w:ilvl w:val="1"/>
          <w:numId w:val="16"/>
        </w:numPr>
        <w:spacing w:after="0"/>
        <w:jc w:val="both"/>
      </w:pPr>
      <w:r w:rsidRPr="00D0723C">
        <w:t>Total annual cost of labor including wages, salaries, bonuses, social security payments</w:t>
      </w:r>
      <w:r w:rsidRPr="00A1117E">
        <w:t xml:space="preserve">: </w:t>
      </w:r>
      <w:r>
        <w:t>100</w:t>
      </w:r>
      <w:r w:rsidRPr="00A1117E">
        <w:t>% response</w:t>
      </w:r>
      <w:r>
        <w:t>.</w:t>
      </w:r>
    </w:p>
    <w:p w14:paraId="0EB7A55D" w14:textId="77777777" w:rsidR="00AC4391" w:rsidRDefault="00AC4391" w:rsidP="00AC4391">
      <w:pPr>
        <w:numPr>
          <w:ilvl w:val="1"/>
          <w:numId w:val="16"/>
        </w:numPr>
        <w:spacing w:after="0"/>
        <w:jc w:val="both"/>
      </w:pPr>
      <w:r w:rsidRPr="00743B02">
        <w:t>Permanent, full-time workers at the end of last fiscal year</w:t>
      </w:r>
      <w:r>
        <w:t>: 98.6% response.</w:t>
      </w:r>
    </w:p>
    <w:p w14:paraId="364F9037" w14:textId="77777777" w:rsidR="00AC4391" w:rsidRPr="00A1117E" w:rsidRDefault="00AC4391" w:rsidP="00AC4391">
      <w:pPr>
        <w:numPr>
          <w:ilvl w:val="1"/>
          <w:numId w:val="16"/>
        </w:numPr>
        <w:spacing w:after="0"/>
        <w:jc w:val="both"/>
      </w:pPr>
      <w:r>
        <w:t>all TFP vars: 70%.</w:t>
      </w:r>
    </w:p>
    <w:p w14:paraId="255C66FF" w14:textId="77777777" w:rsidR="00AC4391" w:rsidRPr="00A1117E" w:rsidRDefault="00AC4391" w:rsidP="00AC4391">
      <w:pPr>
        <w:numPr>
          <w:ilvl w:val="0"/>
          <w:numId w:val="16"/>
        </w:numPr>
        <w:spacing w:after="0"/>
        <w:jc w:val="both"/>
      </w:pPr>
      <w:r w:rsidRPr="00A1117E">
        <w:t>Sampling weights are used throughout the analysis (wmedian)</w:t>
      </w:r>
      <w:r>
        <w:t xml:space="preserve">: </w:t>
      </w:r>
      <w:r w:rsidRPr="0060544F">
        <w:t>All indicators and analysis conducted by the Enterprise Surveys team use the sampling weights based on the median assumption.</w:t>
      </w:r>
    </w:p>
    <w:bookmarkEnd w:id="47"/>
    <w:p w14:paraId="64E81662" w14:textId="77777777" w:rsidR="00AC4391" w:rsidRDefault="00AC4391" w:rsidP="00AC4391">
      <w:pPr>
        <w:rPr>
          <w:highlight w:val="yellow"/>
        </w:rPr>
      </w:pPr>
    </w:p>
    <w:p w14:paraId="4D0117E8" w14:textId="154851D0" w:rsidR="005914BC" w:rsidRPr="001D176C" w:rsidRDefault="30916AFD" w:rsidP="15E5BA73">
      <w:pPr>
        <w:jc w:val="both"/>
        <w:rPr>
          <w:b/>
          <w:bCs/>
          <w:color w:val="4472C4" w:themeColor="accent1"/>
          <w:sz w:val="20"/>
          <w:szCs w:val="20"/>
        </w:rPr>
      </w:pPr>
      <w:r w:rsidRPr="15E5BA73">
        <w:rPr>
          <w:b/>
          <w:bCs/>
          <w:color w:val="4472C4" w:themeColor="accent1"/>
          <w:sz w:val="20"/>
          <w:szCs w:val="20"/>
        </w:rPr>
        <w:t xml:space="preserve">Figure </w:t>
      </w:r>
      <w:r w:rsidR="003A2B2A">
        <w:rPr>
          <w:b/>
          <w:bCs/>
          <w:color w:val="4472C4" w:themeColor="accent1"/>
          <w:sz w:val="20"/>
          <w:szCs w:val="20"/>
        </w:rPr>
        <w:t>II</w:t>
      </w:r>
      <w:r w:rsidR="29BE0AFE" w:rsidRPr="15E5BA73">
        <w:rPr>
          <w:b/>
          <w:bCs/>
          <w:color w:val="4472C4" w:themeColor="accent1"/>
          <w:sz w:val="20"/>
          <w:szCs w:val="20"/>
        </w:rPr>
        <w:t>.2 Sample</w:t>
      </w:r>
      <w:r w:rsidRPr="15E5BA73">
        <w:rPr>
          <w:b/>
          <w:bCs/>
          <w:color w:val="4472C4" w:themeColor="accent1"/>
          <w:sz w:val="20"/>
          <w:szCs w:val="20"/>
        </w:rPr>
        <w:t xml:space="preserve"> Composition of WBES in comparator </w:t>
      </w:r>
      <w:r w:rsidR="2E9DFD0D" w:rsidRPr="15E5BA73">
        <w:rPr>
          <w:b/>
          <w:bCs/>
          <w:color w:val="4472C4" w:themeColor="accent1"/>
          <w:sz w:val="20"/>
          <w:szCs w:val="20"/>
        </w:rPr>
        <w:t>countries</w:t>
      </w:r>
    </w:p>
    <w:tbl>
      <w:tblPr>
        <w:tblStyle w:val="TableGrid"/>
        <w:tblW w:w="0" w:type="auto"/>
        <w:tblLook w:val="04A0" w:firstRow="1" w:lastRow="0" w:firstColumn="1" w:lastColumn="0" w:noHBand="0" w:noVBand="1"/>
      </w:tblPr>
      <w:tblGrid>
        <w:gridCol w:w="2337"/>
        <w:gridCol w:w="2337"/>
        <w:gridCol w:w="2338"/>
        <w:gridCol w:w="2338"/>
      </w:tblGrid>
      <w:tr w:rsidR="00D04BDA" w14:paraId="4AB65A1E" w14:textId="77777777" w:rsidTr="00D04BDA">
        <w:tc>
          <w:tcPr>
            <w:tcW w:w="2337" w:type="dxa"/>
          </w:tcPr>
          <w:p w14:paraId="59DCCAE0" w14:textId="3310BEBD" w:rsidR="00D04BDA" w:rsidRPr="00A43C02" w:rsidRDefault="00334D65" w:rsidP="00AC4391">
            <w:pPr>
              <w:rPr>
                <w:b/>
              </w:rPr>
            </w:pPr>
            <w:r w:rsidRPr="00A43C02">
              <w:rPr>
                <w:b/>
              </w:rPr>
              <w:t>Country</w:t>
            </w:r>
          </w:p>
        </w:tc>
        <w:tc>
          <w:tcPr>
            <w:tcW w:w="2337" w:type="dxa"/>
          </w:tcPr>
          <w:p w14:paraId="065FC8F2" w14:textId="7EBC6138" w:rsidR="00D04BDA" w:rsidRPr="00A43C02" w:rsidRDefault="00334D65" w:rsidP="00AC4391">
            <w:pPr>
              <w:rPr>
                <w:b/>
              </w:rPr>
            </w:pPr>
            <w:r w:rsidRPr="00A43C02">
              <w:rPr>
                <w:b/>
              </w:rPr>
              <w:t>Year of survey</w:t>
            </w:r>
          </w:p>
        </w:tc>
        <w:tc>
          <w:tcPr>
            <w:tcW w:w="2338" w:type="dxa"/>
          </w:tcPr>
          <w:p w14:paraId="23ACB007" w14:textId="79D41FCD" w:rsidR="00D04BDA" w:rsidRPr="00A43C02" w:rsidRDefault="00334D65" w:rsidP="00AC4391">
            <w:pPr>
              <w:rPr>
                <w:b/>
              </w:rPr>
            </w:pPr>
            <w:r w:rsidRPr="00A43C02">
              <w:rPr>
                <w:b/>
              </w:rPr>
              <w:t>Sample size</w:t>
            </w:r>
          </w:p>
        </w:tc>
        <w:tc>
          <w:tcPr>
            <w:tcW w:w="2338" w:type="dxa"/>
          </w:tcPr>
          <w:p w14:paraId="32E9B44A" w14:textId="1188CAB0" w:rsidR="00D04BDA" w:rsidRPr="00A43C02" w:rsidRDefault="00334D65" w:rsidP="00AC4391">
            <w:pPr>
              <w:rPr>
                <w:b/>
              </w:rPr>
            </w:pPr>
            <w:r w:rsidRPr="00A43C02">
              <w:rPr>
                <w:b/>
              </w:rPr>
              <w:t>Category</w:t>
            </w:r>
          </w:p>
        </w:tc>
      </w:tr>
      <w:tr w:rsidR="00D04BDA" w14:paraId="59E11189" w14:textId="77777777" w:rsidTr="00D04BDA">
        <w:tc>
          <w:tcPr>
            <w:tcW w:w="2337" w:type="dxa"/>
          </w:tcPr>
          <w:p w14:paraId="50AC0591" w14:textId="0B102BA0" w:rsidR="00D04BDA" w:rsidRPr="00A43C02" w:rsidRDefault="00E301EF" w:rsidP="00AC4391">
            <w:r w:rsidRPr="00E301EF">
              <w:lastRenderedPageBreak/>
              <w:t>Bangladesh</w:t>
            </w:r>
          </w:p>
        </w:tc>
        <w:tc>
          <w:tcPr>
            <w:tcW w:w="2337" w:type="dxa"/>
          </w:tcPr>
          <w:p w14:paraId="725E6F41" w14:textId="30D72D86" w:rsidR="00D04BDA" w:rsidRPr="00A43C02" w:rsidRDefault="00E301EF" w:rsidP="00AC4391">
            <w:r w:rsidRPr="00E301EF">
              <w:t>2022</w:t>
            </w:r>
          </w:p>
        </w:tc>
        <w:tc>
          <w:tcPr>
            <w:tcW w:w="2338" w:type="dxa"/>
          </w:tcPr>
          <w:p w14:paraId="2BDEF9D0" w14:textId="3E354932" w:rsidR="00D04BDA" w:rsidRPr="00A43C02" w:rsidRDefault="008567C9" w:rsidP="00AC4391">
            <w:r w:rsidRPr="00A43C02">
              <w:t>998</w:t>
            </w:r>
          </w:p>
        </w:tc>
        <w:tc>
          <w:tcPr>
            <w:tcW w:w="2338" w:type="dxa"/>
          </w:tcPr>
          <w:p w14:paraId="24227B4D" w14:textId="4F63A4B4" w:rsidR="00D04BDA" w:rsidRDefault="00C03CED" w:rsidP="00AC4391">
            <w:pPr>
              <w:rPr>
                <w:highlight w:val="yellow"/>
              </w:rPr>
            </w:pPr>
            <w:r w:rsidRPr="00C03CED">
              <w:t>Structural</w:t>
            </w:r>
          </w:p>
        </w:tc>
      </w:tr>
      <w:tr w:rsidR="00D04BDA" w14:paraId="2720AE4F" w14:textId="77777777" w:rsidTr="00D04BDA">
        <w:tc>
          <w:tcPr>
            <w:tcW w:w="2337" w:type="dxa"/>
          </w:tcPr>
          <w:p w14:paraId="2A6AA96F" w14:textId="1B232609" w:rsidR="00D04BDA" w:rsidRPr="00A43C02" w:rsidRDefault="00E1298B" w:rsidP="00AC4391">
            <w:r w:rsidRPr="00E1298B">
              <w:t>Cambodia</w:t>
            </w:r>
          </w:p>
        </w:tc>
        <w:tc>
          <w:tcPr>
            <w:tcW w:w="2337" w:type="dxa"/>
          </w:tcPr>
          <w:p w14:paraId="58F2DA0B" w14:textId="0B2D5F80" w:rsidR="00D04BDA" w:rsidRPr="00A43C02" w:rsidRDefault="00E1298B" w:rsidP="00AC4391">
            <w:r w:rsidRPr="00E1298B">
              <w:t>2023</w:t>
            </w:r>
          </w:p>
        </w:tc>
        <w:tc>
          <w:tcPr>
            <w:tcW w:w="2338" w:type="dxa"/>
          </w:tcPr>
          <w:p w14:paraId="77A3C636" w14:textId="7D02CFCC" w:rsidR="00D04BDA" w:rsidRPr="00A43C02" w:rsidRDefault="00192B87" w:rsidP="00AC4391">
            <w:r w:rsidRPr="00A43C02">
              <w:t>519</w:t>
            </w:r>
          </w:p>
        </w:tc>
        <w:tc>
          <w:tcPr>
            <w:tcW w:w="2338" w:type="dxa"/>
          </w:tcPr>
          <w:p w14:paraId="60F80D3C" w14:textId="0E8C5A3E" w:rsidR="00D04BDA" w:rsidRDefault="00557394" w:rsidP="00AC4391">
            <w:pPr>
              <w:rPr>
                <w:highlight w:val="yellow"/>
              </w:rPr>
            </w:pPr>
            <w:r w:rsidRPr="002546A3">
              <w:t>Structural</w:t>
            </w:r>
          </w:p>
        </w:tc>
      </w:tr>
      <w:tr w:rsidR="00D04BDA" w14:paraId="30B30EEF" w14:textId="77777777" w:rsidTr="00D04BDA">
        <w:tc>
          <w:tcPr>
            <w:tcW w:w="2337" w:type="dxa"/>
          </w:tcPr>
          <w:p w14:paraId="2BCBDBAD" w14:textId="796F2E6F" w:rsidR="00D04BDA" w:rsidRPr="00A43C02" w:rsidRDefault="00744FB5" w:rsidP="00AC4391">
            <w:r w:rsidRPr="00A43C02">
              <w:t>Indonesia</w:t>
            </w:r>
          </w:p>
        </w:tc>
        <w:tc>
          <w:tcPr>
            <w:tcW w:w="2337" w:type="dxa"/>
          </w:tcPr>
          <w:p w14:paraId="46B7408F" w14:textId="62C04E01" w:rsidR="00D04BDA" w:rsidRPr="00A43C02" w:rsidRDefault="00954F9B" w:rsidP="00AC4391">
            <w:r w:rsidRPr="00A43C02">
              <w:t>2023</w:t>
            </w:r>
          </w:p>
        </w:tc>
        <w:tc>
          <w:tcPr>
            <w:tcW w:w="2338" w:type="dxa"/>
          </w:tcPr>
          <w:p w14:paraId="7F347713" w14:textId="1884EA09" w:rsidR="00D04BDA" w:rsidRPr="00A43C02" w:rsidRDefault="006E5A6D" w:rsidP="00AC4391">
            <w:r w:rsidRPr="00A43C02">
              <w:t>2,955</w:t>
            </w:r>
          </w:p>
        </w:tc>
        <w:tc>
          <w:tcPr>
            <w:tcW w:w="2338" w:type="dxa"/>
          </w:tcPr>
          <w:p w14:paraId="1AC91EE6" w14:textId="2A58CE8D" w:rsidR="00D04BDA" w:rsidRDefault="002546A3" w:rsidP="00AC4391">
            <w:pPr>
              <w:rPr>
                <w:highlight w:val="yellow"/>
              </w:rPr>
            </w:pPr>
            <w:r w:rsidRPr="002546A3">
              <w:t>Structural</w:t>
            </w:r>
          </w:p>
        </w:tc>
      </w:tr>
      <w:tr w:rsidR="00D04BDA" w14:paraId="23E54808" w14:textId="77777777" w:rsidTr="00D04BDA">
        <w:tc>
          <w:tcPr>
            <w:tcW w:w="2337" w:type="dxa"/>
          </w:tcPr>
          <w:p w14:paraId="6050B533" w14:textId="25663983" w:rsidR="00D04BDA" w:rsidRDefault="00AD3D73" w:rsidP="00AC4391">
            <w:pPr>
              <w:rPr>
                <w:highlight w:val="yellow"/>
              </w:rPr>
            </w:pPr>
            <w:r w:rsidRPr="00AD3D73">
              <w:t xml:space="preserve">Malaysia      </w:t>
            </w:r>
          </w:p>
        </w:tc>
        <w:tc>
          <w:tcPr>
            <w:tcW w:w="2337" w:type="dxa"/>
          </w:tcPr>
          <w:p w14:paraId="13443F38" w14:textId="7C4D14E7" w:rsidR="00D04BDA" w:rsidRDefault="00AD3D73" w:rsidP="00AC4391">
            <w:pPr>
              <w:rPr>
                <w:highlight w:val="yellow"/>
              </w:rPr>
            </w:pPr>
            <w:r w:rsidRPr="00AD3D73">
              <w:t>2019</w:t>
            </w:r>
          </w:p>
        </w:tc>
        <w:tc>
          <w:tcPr>
            <w:tcW w:w="2338" w:type="dxa"/>
          </w:tcPr>
          <w:p w14:paraId="3C3A0B14" w14:textId="30FCB71C" w:rsidR="00D04BDA" w:rsidRDefault="00AD3D73" w:rsidP="00AC4391">
            <w:pPr>
              <w:rPr>
                <w:highlight w:val="yellow"/>
              </w:rPr>
            </w:pPr>
            <w:r w:rsidRPr="00AD3D73">
              <w:t>1,221</w:t>
            </w:r>
          </w:p>
        </w:tc>
        <w:tc>
          <w:tcPr>
            <w:tcW w:w="2338" w:type="dxa"/>
          </w:tcPr>
          <w:p w14:paraId="19C7DFE6" w14:textId="1FDB9F96" w:rsidR="00D04BDA" w:rsidRDefault="00517142" w:rsidP="00AC4391">
            <w:pPr>
              <w:rPr>
                <w:highlight w:val="yellow"/>
              </w:rPr>
            </w:pPr>
            <w:r w:rsidRPr="00517142">
              <w:t>Structural</w:t>
            </w:r>
          </w:p>
        </w:tc>
      </w:tr>
      <w:tr w:rsidR="00D04BDA" w14:paraId="5A6222F2" w14:textId="77777777" w:rsidTr="00D04BDA">
        <w:tc>
          <w:tcPr>
            <w:tcW w:w="2337" w:type="dxa"/>
          </w:tcPr>
          <w:p w14:paraId="2E092DB4" w14:textId="0653C51B" w:rsidR="00D04BDA" w:rsidRDefault="004544BD" w:rsidP="00AC4391">
            <w:pPr>
              <w:rPr>
                <w:highlight w:val="yellow"/>
              </w:rPr>
            </w:pPr>
            <w:r w:rsidRPr="004544BD">
              <w:t>Mexic</w:t>
            </w:r>
            <w:r w:rsidR="00467C4B">
              <w:t>o</w:t>
            </w:r>
            <w:r w:rsidRPr="004544BD">
              <w:t xml:space="preserve">      </w:t>
            </w:r>
          </w:p>
        </w:tc>
        <w:tc>
          <w:tcPr>
            <w:tcW w:w="2337" w:type="dxa"/>
          </w:tcPr>
          <w:p w14:paraId="312B2137" w14:textId="20B90C38" w:rsidR="00D04BDA" w:rsidRPr="00A43C02" w:rsidRDefault="00A174E1" w:rsidP="00AC4391">
            <w:r w:rsidRPr="00A43C02">
              <w:t>2023</w:t>
            </w:r>
          </w:p>
        </w:tc>
        <w:tc>
          <w:tcPr>
            <w:tcW w:w="2338" w:type="dxa"/>
          </w:tcPr>
          <w:p w14:paraId="5EA6181D" w14:textId="388D5C67" w:rsidR="00D04BDA" w:rsidRPr="00A43C02" w:rsidRDefault="00467C4B" w:rsidP="00AC4391">
            <w:r w:rsidRPr="004544BD">
              <w:t>1,322</w:t>
            </w:r>
          </w:p>
        </w:tc>
        <w:tc>
          <w:tcPr>
            <w:tcW w:w="2338" w:type="dxa"/>
          </w:tcPr>
          <w:p w14:paraId="24F80846" w14:textId="37DA8F18" w:rsidR="00D04BDA" w:rsidRPr="00A43C02" w:rsidRDefault="00557394" w:rsidP="00AC4391">
            <w:r w:rsidRPr="00557394">
              <w:t>Aspirational</w:t>
            </w:r>
          </w:p>
        </w:tc>
      </w:tr>
      <w:tr w:rsidR="00E1298B" w14:paraId="2A93754D" w14:textId="77777777" w:rsidTr="00D04BDA">
        <w:tc>
          <w:tcPr>
            <w:tcW w:w="2337" w:type="dxa"/>
          </w:tcPr>
          <w:p w14:paraId="58EBB609" w14:textId="31E56937" w:rsidR="00E1298B" w:rsidRDefault="009D2C10" w:rsidP="00AC4391">
            <w:pPr>
              <w:rPr>
                <w:highlight w:val="yellow"/>
              </w:rPr>
            </w:pPr>
            <w:r w:rsidRPr="009D2C10">
              <w:t>Singapore</w:t>
            </w:r>
          </w:p>
        </w:tc>
        <w:tc>
          <w:tcPr>
            <w:tcW w:w="2337" w:type="dxa"/>
          </w:tcPr>
          <w:p w14:paraId="65B34B99" w14:textId="73835247" w:rsidR="00E1298B" w:rsidRPr="00A43C02" w:rsidRDefault="00467C4B" w:rsidP="00AC4391">
            <w:r>
              <w:t>2023</w:t>
            </w:r>
          </w:p>
        </w:tc>
        <w:tc>
          <w:tcPr>
            <w:tcW w:w="2338" w:type="dxa"/>
          </w:tcPr>
          <w:p w14:paraId="2A682A50" w14:textId="0E3D9719" w:rsidR="00E1298B" w:rsidRPr="00A43C02" w:rsidRDefault="00467C4B" w:rsidP="00AC4391">
            <w:r>
              <w:t>623</w:t>
            </w:r>
          </w:p>
        </w:tc>
        <w:tc>
          <w:tcPr>
            <w:tcW w:w="2338" w:type="dxa"/>
          </w:tcPr>
          <w:p w14:paraId="792C10F5" w14:textId="020EEBA1" w:rsidR="00E1298B" w:rsidRPr="00A43C02" w:rsidRDefault="00557394" w:rsidP="00AC4391">
            <w:r w:rsidRPr="00557394">
              <w:t>Aspirational</w:t>
            </w:r>
          </w:p>
        </w:tc>
      </w:tr>
      <w:tr w:rsidR="00E1298B" w14:paraId="3F556A37" w14:textId="77777777" w:rsidTr="00D04BDA">
        <w:tc>
          <w:tcPr>
            <w:tcW w:w="2337" w:type="dxa"/>
          </w:tcPr>
          <w:p w14:paraId="7607CCD5" w14:textId="4ECCAA1A" w:rsidR="00E1298B" w:rsidRDefault="00D659F3" w:rsidP="00AC4391">
            <w:pPr>
              <w:rPr>
                <w:highlight w:val="yellow"/>
              </w:rPr>
            </w:pPr>
            <w:r w:rsidRPr="00D659F3">
              <w:t xml:space="preserve">Türkiye     </w:t>
            </w:r>
          </w:p>
        </w:tc>
        <w:tc>
          <w:tcPr>
            <w:tcW w:w="2337" w:type="dxa"/>
          </w:tcPr>
          <w:p w14:paraId="2449FA9F" w14:textId="1A2779FA" w:rsidR="00E1298B" w:rsidRPr="00A43C02" w:rsidRDefault="00467C4B" w:rsidP="00AC4391">
            <w:r>
              <w:t>2019</w:t>
            </w:r>
          </w:p>
        </w:tc>
        <w:tc>
          <w:tcPr>
            <w:tcW w:w="2338" w:type="dxa"/>
          </w:tcPr>
          <w:p w14:paraId="45206753" w14:textId="032761D5" w:rsidR="00E1298B" w:rsidRPr="00A43C02" w:rsidRDefault="00467C4B" w:rsidP="00AC4391">
            <w:r w:rsidRPr="00D659F3">
              <w:t>1,663</w:t>
            </w:r>
          </w:p>
        </w:tc>
        <w:tc>
          <w:tcPr>
            <w:tcW w:w="2338" w:type="dxa"/>
          </w:tcPr>
          <w:p w14:paraId="0728B286" w14:textId="185D1902" w:rsidR="00E1298B" w:rsidRPr="00A43C02" w:rsidRDefault="00557394" w:rsidP="00AC4391">
            <w:r w:rsidRPr="00557394">
              <w:t>Aspirational</w:t>
            </w:r>
          </w:p>
        </w:tc>
      </w:tr>
    </w:tbl>
    <w:p w14:paraId="5B82A21D" w14:textId="77777777" w:rsidR="005914BC" w:rsidRDefault="005914BC" w:rsidP="00AC4391">
      <w:pPr>
        <w:rPr>
          <w:highlight w:val="yellow"/>
        </w:rPr>
      </w:pPr>
    </w:p>
    <w:p w14:paraId="36AF8DF6" w14:textId="77777777" w:rsidR="00AC4391" w:rsidRDefault="00AC4391" w:rsidP="00A43C02">
      <w:pPr>
        <w:pStyle w:val="Heading4"/>
        <w:numPr>
          <w:ilvl w:val="0"/>
          <w:numId w:val="0"/>
        </w:numPr>
      </w:pPr>
      <w:r>
        <w:t>5</w:t>
      </w:r>
      <w:r w:rsidRPr="00345255">
        <w:t xml:space="preserve">. </w:t>
      </w:r>
      <w:r>
        <w:t xml:space="preserve">Entrepreneurship database </w:t>
      </w:r>
    </w:p>
    <w:p w14:paraId="07E5E07A" w14:textId="77777777" w:rsidR="00AC4391" w:rsidRDefault="00AC4391" w:rsidP="00AC4391">
      <w:pPr>
        <w:jc w:val="both"/>
      </w:pPr>
      <w:r w:rsidRPr="00834FF4">
        <w:t>The Entrepreneurship Database project collects data on registered firms from 2006 to 2022</w:t>
      </w:r>
      <w:r>
        <w:t xml:space="preserve"> in 180 economies</w:t>
      </w:r>
      <w:r w:rsidRPr="00834FF4">
        <w:t xml:space="preserve">, focusing on the following three variables: the number of new firms, </w:t>
      </w:r>
      <w:r>
        <w:t xml:space="preserve">the </w:t>
      </w:r>
      <w:r w:rsidRPr="00834FF4">
        <w:t xml:space="preserve">total number of firms, and </w:t>
      </w:r>
      <w:r>
        <w:t xml:space="preserve">the </w:t>
      </w:r>
      <w:r w:rsidRPr="00834FF4">
        <w:t>number of closed firms.</w:t>
      </w:r>
      <w:r>
        <w:t xml:space="preserve"> For access, visit </w:t>
      </w:r>
      <w:hyperlink r:id="rId42" w:history="1">
        <w:r w:rsidRPr="00E52A4C">
          <w:rPr>
            <w:rStyle w:val="Hyperlink"/>
          </w:rPr>
          <w:t>https://www.worldbank.org/en/programs/entrepreneurship</w:t>
        </w:r>
      </w:hyperlink>
    </w:p>
    <w:p w14:paraId="167D6A73" w14:textId="1277533C" w:rsidR="00AC4391" w:rsidRDefault="00AC4391" w:rsidP="00A43C02">
      <w:pPr>
        <w:pStyle w:val="Heading4"/>
        <w:numPr>
          <w:ilvl w:val="0"/>
          <w:numId w:val="0"/>
        </w:numPr>
      </w:pPr>
      <w:r>
        <w:t>6</w:t>
      </w:r>
      <w:r w:rsidRPr="00345255">
        <w:t xml:space="preserve">. </w:t>
      </w:r>
      <w:r w:rsidRPr="001C1CB8">
        <w:t>The Provincial Competitiveness Index (PCI)</w:t>
      </w:r>
      <w:r>
        <w:t xml:space="preserve"> </w:t>
      </w:r>
      <w:r w:rsidR="00AC3ED2">
        <w:t>–</w:t>
      </w:r>
      <w:r>
        <w:t xml:space="preserve"> Vietnam</w:t>
      </w:r>
    </w:p>
    <w:p w14:paraId="64698A0D" w14:textId="06C0E0E5" w:rsidR="00AC4391" w:rsidRDefault="00AC4391" w:rsidP="00AC4391">
      <w:pPr>
        <w:jc w:val="both"/>
      </w:pPr>
      <w:r>
        <w:t>It is an annual business survey in Viet</w:t>
      </w:r>
      <w:r w:rsidR="00AC3ED2">
        <w:t xml:space="preserve"> Nam</w:t>
      </w:r>
      <w:r>
        <w:t xml:space="preserve"> about the economic governance quality of provincial authorities in creating a favorable business environment for the private sector's development. Firms are selected using random sampling to mirror provincial populations. Stratification is used to ensure that firm age, legal type, and sector are accurately represented.</w:t>
      </w:r>
    </w:p>
    <w:p w14:paraId="3FE2117B" w14:textId="77777777" w:rsidR="00AC4391" w:rsidRDefault="00AC4391" w:rsidP="00AC4391">
      <w:pPr>
        <w:jc w:val="both"/>
      </w:pPr>
      <w:r>
        <w:t>The overall PCI comprises ten sub-indices, reflecting economic governance areas that affect private sector development. A province that is considered to perform well on the PCI is the one that has:</w:t>
      </w:r>
    </w:p>
    <w:p w14:paraId="5EC55FB8" w14:textId="77777777" w:rsidR="00AC4391" w:rsidRDefault="00AC4391" w:rsidP="00AC4391">
      <w:pPr>
        <w:jc w:val="both"/>
      </w:pPr>
      <w:r>
        <w:t>1) low entry costs for business start-ups.</w:t>
      </w:r>
    </w:p>
    <w:p w14:paraId="54F5ECFC" w14:textId="77777777" w:rsidR="00AC4391" w:rsidRDefault="00AC4391" w:rsidP="00AC4391">
      <w:pPr>
        <w:jc w:val="both"/>
      </w:pPr>
      <w:r>
        <w:t>2) easy access to land and security of business premises.</w:t>
      </w:r>
    </w:p>
    <w:p w14:paraId="799162E6" w14:textId="77777777" w:rsidR="00AC4391" w:rsidRDefault="00AC4391" w:rsidP="00AC4391">
      <w:pPr>
        <w:jc w:val="both"/>
      </w:pPr>
      <w:r>
        <w:t>3) a transparent business environment and equitable business information.</w:t>
      </w:r>
    </w:p>
    <w:p w14:paraId="598C0C36" w14:textId="77777777" w:rsidR="00AC4391" w:rsidRDefault="00AC4391" w:rsidP="00AC4391">
      <w:pPr>
        <w:jc w:val="both"/>
      </w:pPr>
      <w:r>
        <w:t>4) minimal informal charges.</w:t>
      </w:r>
    </w:p>
    <w:p w14:paraId="6CBD5ACB" w14:textId="77777777" w:rsidR="00AC4391" w:rsidRDefault="00AC4391" w:rsidP="00AC4391">
      <w:pPr>
        <w:jc w:val="both"/>
      </w:pPr>
      <w:r>
        <w:t>5) has limited time requirements for bureaucratic procedures and inspections.</w:t>
      </w:r>
    </w:p>
    <w:p w14:paraId="3750FC28" w14:textId="77777777" w:rsidR="00AC4391" w:rsidRDefault="00AC4391" w:rsidP="00AC4391">
      <w:pPr>
        <w:jc w:val="both"/>
      </w:pPr>
      <w:r>
        <w:t>6) limit crowding out of private activity from policy biases toward state, foreign, or connected firms.</w:t>
      </w:r>
    </w:p>
    <w:p w14:paraId="38E65F47" w14:textId="77777777" w:rsidR="00AC4391" w:rsidRDefault="00AC4391" w:rsidP="00AC4391">
      <w:pPr>
        <w:jc w:val="both"/>
      </w:pPr>
      <w:r>
        <w:t>7) proactive and creative provincial leadership in solving problems for enterprises.</w:t>
      </w:r>
    </w:p>
    <w:p w14:paraId="78E1EAF9" w14:textId="1418EB06" w:rsidR="00AC4391" w:rsidRDefault="13F46890" w:rsidP="00AC4391">
      <w:pPr>
        <w:jc w:val="both"/>
      </w:pPr>
      <w:r>
        <w:t xml:space="preserve">8) </w:t>
      </w:r>
      <w:r w:rsidR="66B4891F">
        <w:t>developed</w:t>
      </w:r>
      <w:r>
        <w:t xml:space="preserve"> high-quality business support services.</w:t>
      </w:r>
    </w:p>
    <w:p w14:paraId="0E005DE7" w14:textId="77777777" w:rsidR="00AC4391" w:rsidRDefault="00AC4391" w:rsidP="00AC4391">
      <w:pPr>
        <w:jc w:val="both"/>
      </w:pPr>
      <w:r>
        <w:t>9) sound labor training policies.</w:t>
      </w:r>
    </w:p>
    <w:p w14:paraId="3F1F1BBE" w14:textId="77777777" w:rsidR="00AC4391" w:rsidRPr="001C1CB8" w:rsidRDefault="00AC4391" w:rsidP="00AC4391">
      <w:pPr>
        <w:jc w:val="both"/>
      </w:pPr>
      <w:r>
        <w:t xml:space="preserve">10) fair and effective legal procedures for dispute resolution. </w:t>
      </w:r>
    </w:p>
    <w:p w14:paraId="3E3BB930" w14:textId="77777777" w:rsidR="00291F0D" w:rsidRDefault="00291F0D" w:rsidP="00291F0D">
      <w:pPr>
        <w:jc w:val="both"/>
      </w:pPr>
      <w:r w:rsidRPr="00835646">
        <w:t>The composite PCI has a maximum score of 100 points.</w:t>
      </w:r>
      <w:r>
        <w:t xml:space="preserve"> For further information and access, </w:t>
      </w:r>
      <w:hyperlink r:id="rId43" w:history="1">
        <w:r w:rsidRPr="00964185">
          <w:rPr>
            <w:rStyle w:val="Hyperlink"/>
          </w:rPr>
          <w:t>https://pcivietnam.vn/en</w:t>
        </w:r>
      </w:hyperlink>
    </w:p>
    <w:p w14:paraId="2778240A" w14:textId="77777777" w:rsidR="00AC4391" w:rsidRDefault="00AC4391" w:rsidP="00AC4391">
      <w:pPr>
        <w:rPr>
          <w:highlight w:val="yellow"/>
        </w:rPr>
      </w:pPr>
    </w:p>
    <w:p w14:paraId="470B4935" w14:textId="77777777" w:rsidR="00AC4391" w:rsidRDefault="00AC4391" w:rsidP="00A43C02">
      <w:pPr>
        <w:pStyle w:val="Heading4"/>
        <w:numPr>
          <w:ilvl w:val="0"/>
          <w:numId w:val="0"/>
        </w:numPr>
        <w:jc w:val="both"/>
      </w:pPr>
      <w:r>
        <w:lastRenderedPageBreak/>
        <w:t>7</w:t>
      </w:r>
      <w:r w:rsidRPr="00345255">
        <w:t xml:space="preserve">. </w:t>
      </w:r>
      <w:r w:rsidRPr="000B1899">
        <w:t>FDI Regulatory Restrictiveness Index</w:t>
      </w:r>
      <w:r>
        <w:t xml:space="preserve"> - T</w:t>
      </w:r>
      <w:r w:rsidRPr="000B1899">
        <w:t>he Organization for Economic Co-operation and Developmen</w:t>
      </w:r>
      <w:r>
        <w:t>t (OECD)</w:t>
      </w:r>
    </w:p>
    <w:p w14:paraId="17044B3A" w14:textId="77777777" w:rsidR="00AC4391" w:rsidRDefault="00AC4391" w:rsidP="00AC4391">
      <w:pPr>
        <w:jc w:val="both"/>
      </w:pPr>
      <w:r w:rsidRPr="000B1899">
        <w:t>The FDI Regulatory Restrictiveness Index (FDI Index) measures statutory restrictions on foreign direct investment in 22 economic sectors across 69 countries, including all OECD and G20 countries. The FDI Index gauges the restrictiveness of a country’s FDI rules by looking at the four main types of restrictions on FDI:</w:t>
      </w:r>
      <w:r>
        <w:t xml:space="preserve"> f</w:t>
      </w:r>
      <w:r w:rsidRPr="000B1899">
        <w:t>oreign equity limitations</w:t>
      </w:r>
      <w:r>
        <w:t>, s</w:t>
      </w:r>
      <w:r w:rsidRPr="000B1899">
        <w:t>creening or approval mechanisms</w:t>
      </w:r>
      <w:r>
        <w:t>, r</w:t>
      </w:r>
      <w:r w:rsidRPr="000B1899">
        <w:t>estrictions on the employment of foreigners as key personnel</w:t>
      </w:r>
      <w:r>
        <w:t>, and o</w:t>
      </w:r>
      <w:r w:rsidRPr="000B1899">
        <w:t>perational restrictions, e.g.</w:t>
      </w:r>
      <w:r>
        <w:t>,</w:t>
      </w:r>
      <w:r w:rsidRPr="000B1899">
        <w:t xml:space="preserve"> restrictions on branching and on capital repatriation or land ownershi</w:t>
      </w:r>
      <w:r>
        <w:t xml:space="preserve">p. For further information and access, visit </w:t>
      </w:r>
      <w:hyperlink r:id="rId44" w:history="1">
        <w:r w:rsidRPr="00964185">
          <w:rPr>
            <w:rStyle w:val="Hyperlink"/>
          </w:rPr>
          <w:t>https://www.oecd.org/investment/fdiindex.htm</w:t>
        </w:r>
      </w:hyperlink>
    </w:p>
    <w:p w14:paraId="516044D3" w14:textId="77777777" w:rsidR="00AC4391" w:rsidRDefault="00AC4391" w:rsidP="00A43C02">
      <w:pPr>
        <w:pStyle w:val="Heading4"/>
        <w:numPr>
          <w:ilvl w:val="0"/>
          <w:numId w:val="0"/>
        </w:numPr>
        <w:jc w:val="both"/>
      </w:pPr>
      <w:r>
        <w:t>8</w:t>
      </w:r>
      <w:r w:rsidRPr="00345255">
        <w:t xml:space="preserve">. </w:t>
      </w:r>
      <w:r>
        <w:t xml:space="preserve">World Bank </w:t>
      </w:r>
      <w:r w:rsidRPr="00E3543F">
        <w:t>Sectoral bilateral FDI database</w:t>
      </w:r>
    </w:p>
    <w:p w14:paraId="753D2EE3" w14:textId="77777777" w:rsidR="00AC4391" w:rsidRDefault="00AC4391" w:rsidP="00AC4391">
      <w:pPr>
        <w:jc w:val="both"/>
        <w:rPr>
          <w:highlight w:val="yellow"/>
        </w:rPr>
      </w:pPr>
      <w:r w:rsidRPr="00C20386">
        <w:t>It is a sectoral bilateral FDI stocks compiled by the World Bank. This makes use of a regional dataset from EUROSTAT, including 36 European countries, and accompanies this with bilateral FDI from six countries with significant outward investment (in order of the FDI magnitude): the United States, Japan, Korea, Canada, Singapore, and Brazil. These 42 countries jointly made up over 80 percent of global FDI stocks between 2007 and 2018. The mirrored data provides detailed information on sectoral FDI stocks for 22 developing countries.</w:t>
      </w:r>
    </w:p>
    <w:p w14:paraId="6383AA6C" w14:textId="4CEB3AAF" w:rsidR="00AC4391" w:rsidRPr="00020E55" w:rsidRDefault="003C04A3">
      <w:r>
        <w:br w:type="page"/>
      </w:r>
    </w:p>
    <w:p w14:paraId="2D46A596" w14:textId="3080583B" w:rsidR="000E6315" w:rsidRPr="00BC08D5" w:rsidRDefault="001D3999" w:rsidP="001D3999">
      <w:pPr>
        <w:pStyle w:val="Heading2"/>
        <w:numPr>
          <w:ilvl w:val="0"/>
          <w:numId w:val="0"/>
        </w:numPr>
      </w:pPr>
      <w:bookmarkStart w:id="48" w:name="_Toc175228092"/>
      <w:r w:rsidRPr="00925C0B">
        <w:rPr>
          <w:color w:val="4472C4" w:themeColor="accent1"/>
        </w:rPr>
        <w:lastRenderedPageBreak/>
        <w:t xml:space="preserve">Annex </w:t>
      </w:r>
      <w:r w:rsidR="003A2B2A" w:rsidRPr="00BC08D5">
        <w:rPr>
          <w:color w:val="4472C4" w:themeColor="accent1"/>
        </w:rPr>
        <w:t>I</w:t>
      </w:r>
      <w:r w:rsidR="004E49FD">
        <w:rPr>
          <w:color w:val="4472C4" w:themeColor="accent1"/>
        </w:rPr>
        <w:t>II</w:t>
      </w:r>
      <w:r w:rsidRPr="00925C0B">
        <w:rPr>
          <w:color w:val="4472C4" w:themeColor="accent1"/>
        </w:rPr>
        <w:t>:</w:t>
      </w:r>
      <w:r w:rsidRPr="00BC08D5">
        <w:rPr>
          <w:rFonts w:asciiTheme="minorHAnsi" w:eastAsiaTheme="minorHAnsi" w:hAnsiTheme="minorHAnsi" w:cstheme="minorBidi"/>
          <w:color w:val="4472C4" w:themeColor="accent1"/>
          <w:kern w:val="2"/>
          <w:sz w:val="22"/>
          <w:szCs w:val="22"/>
          <w14:ligatures w14:val="standardContextual"/>
        </w:rPr>
        <w:t xml:space="preserve"> </w:t>
      </w:r>
      <w:r w:rsidR="002C6C2A" w:rsidRPr="00BC08D5">
        <w:rPr>
          <w:color w:val="4472C4" w:themeColor="accent1"/>
        </w:rPr>
        <w:t>Business Licensing and Inspections Maturity Assessment (BLIMS) methodology</w:t>
      </w:r>
      <w:bookmarkEnd w:id="48"/>
      <w:r w:rsidR="00660AD9" w:rsidRPr="00BC08D5">
        <w:rPr>
          <w:color w:val="4472C4" w:themeColor="accent1"/>
        </w:rPr>
        <w:t xml:space="preserve"> </w:t>
      </w:r>
    </w:p>
    <w:p w14:paraId="60C5F14E" w14:textId="77777777" w:rsidR="001D3999" w:rsidRDefault="001D3999" w:rsidP="00AA6635">
      <w:pPr>
        <w:jc w:val="both"/>
      </w:pPr>
    </w:p>
    <w:p w14:paraId="010CF854" w14:textId="0910B394" w:rsidR="008366C2" w:rsidRPr="008366C2" w:rsidRDefault="27B6FE70" w:rsidP="00AA6635">
      <w:pPr>
        <w:jc w:val="both"/>
      </w:pPr>
      <w:r>
        <w:t xml:space="preserve">The </w:t>
      </w:r>
      <w:r w:rsidR="25DBB471">
        <w:t>BLIMS</w:t>
      </w:r>
      <w:r>
        <w:t xml:space="preserve"> is a methodology developed by the World Bank Investment Climate Unit to carry out a quick diagnostic of licensing and inspections systems at national, sub-national or sectoral levels. Licensing and inspections are often seen as separate components of service delivery; however, they are two sides of the same coin when it comes to business regulation design and implementation. Business licensing encompasses all </w:t>
      </w:r>
      <w:r w:rsidR="4F4D1738">
        <w:t>ex-ante</w:t>
      </w:r>
      <w:r>
        <w:t xml:space="preserve"> authorizations and procedures relevant for businesses entering the market and commencing operations after incorporating and registering with the tax authorities. Business inspections refer to supervision activities relevant after the business enters the market. </w:t>
      </w:r>
    </w:p>
    <w:p w14:paraId="1FF85C0C" w14:textId="6A0C5A93" w:rsidR="008366C2" w:rsidRPr="008366C2" w:rsidRDefault="132A9154" w:rsidP="00AA6635">
      <w:pPr>
        <w:jc w:val="both"/>
      </w:pPr>
      <w:r>
        <w:t>BLIMS</w:t>
      </w:r>
      <w:r w:rsidR="27B6FE70">
        <w:t xml:space="preserve"> is structured around five domains (table </w:t>
      </w:r>
      <w:r w:rsidR="00CE36B5">
        <w:t>III</w:t>
      </w:r>
      <w:r w:rsidR="27B6FE70">
        <w:t xml:space="preserve">.1), and there are five questions per domain, with three possible responses to each question. Each response is assigned a score (0, 1, or 2); therefore, by completing the </w:t>
      </w:r>
      <w:r w:rsidR="25DBB471">
        <w:t>BLIMS</w:t>
      </w:r>
      <w:r w:rsidR="27B6FE70">
        <w:t>, the user can quantify and visualize how the country performs across the five domains.</w:t>
      </w:r>
    </w:p>
    <w:p w14:paraId="15EFFD5F" w14:textId="3413749B" w:rsidR="008366C2" w:rsidRDefault="008366C2" w:rsidP="00AA6635">
      <w:pPr>
        <w:jc w:val="both"/>
      </w:pPr>
      <w:r w:rsidRPr="008366C2">
        <w:t xml:space="preserve">The output of the </w:t>
      </w:r>
      <w:r w:rsidR="00A36C95">
        <w:t>BLIMS</w:t>
      </w:r>
      <w:r w:rsidRPr="008366C2">
        <w:t xml:space="preserve"> is twofold. Initially, it includes an assessment of the </w:t>
      </w:r>
      <w:r w:rsidR="00380B4F">
        <w:t>c</w:t>
      </w:r>
      <w:r w:rsidR="008E2204">
        <w:t>ountry’s</w:t>
      </w:r>
      <w:r w:rsidRPr="008366C2">
        <w:t xml:space="preserve"> maturity level across five maturity domains and three maturity levels (Starting, Developing, and Maturing). Subsequently, the assessment identifies specific transformational activities and produces a high-level roadmap. The roadmap can be used as an important input to the policy dialogue with the client and to the project design.</w:t>
      </w:r>
    </w:p>
    <w:p w14:paraId="4FF9FA62" w14:textId="76FBAEA9" w:rsidR="006842E9" w:rsidRPr="007B67F8" w:rsidRDefault="006842E9" w:rsidP="007B67F8">
      <w:pPr>
        <w:jc w:val="both"/>
        <w:rPr>
          <w:rFonts w:cstheme="minorHAnsi"/>
          <w:b/>
          <w:bCs/>
          <w:color w:val="4472C4" w:themeColor="accent1"/>
          <w:sz w:val="20"/>
          <w:szCs w:val="20"/>
        </w:rPr>
      </w:pPr>
      <w:r w:rsidRPr="007B67F8">
        <w:rPr>
          <w:rFonts w:cstheme="minorHAnsi"/>
          <w:b/>
          <w:bCs/>
          <w:color w:val="4472C4" w:themeColor="accent1"/>
          <w:sz w:val="20"/>
          <w:szCs w:val="20"/>
        </w:rPr>
        <w:t xml:space="preserve">Table </w:t>
      </w:r>
      <w:r w:rsidR="00CE36B5">
        <w:rPr>
          <w:rFonts w:cstheme="minorHAnsi"/>
          <w:b/>
          <w:bCs/>
          <w:color w:val="4472C4" w:themeColor="accent1"/>
          <w:sz w:val="20"/>
          <w:szCs w:val="20"/>
        </w:rPr>
        <w:t>III</w:t>
      </w:r>
      <w:r w:rsidR="00133A06">
        <w:rPr>
          <w:rFonts w:cstheme="minorHAnsi"/>
          <w:b/>
          <w:bCs/>
          <w:color w:val="4472C4" w:themeColor="accent1"/>
          <w:sz w:val="20"/>
          <w:szCs w:val="20"/>
        </w:rPr>
        <w:t>.</w:t>
      </w:r>
      <w:r w:rsidRPr="007B67F8">
        <w:rPr>
          <w:rFonts w:cstheme="minorHAnsi"/>
          <w:b/>
          <w:bCs/>
          <w:color w:val="4472C4" w:themeColor="accent1"/>
          <w:sz w:val="20"/>
          <w:szCs w:val="20"/>
        </w:rPr>
        <w:t xml:space="preserve">1 </w:t>
      </w:r>
      <w:r w:rsidR="00133A06" w:rsidRPr="007B67F8">
        <w:rPr>
          <w:rFonts w:cstheme="minorHAnsi"/>
          <w:b/>
          <w:bCs/>
          <w:color w:val="4472C4" w:themeColor="accent1"/>
          <w:sz w:val="20"/>
          <w:szCs w:val="20"/>
        </w:rPr>
        <w:t>BLIMS domains</w:t>
      </w:r>
    </w:p>
    <w:p w14:paraId="52044AE2" w14:textId="43931A22" w:rsidR="001A3C9C" w:rsidRDefault="008366C2" w:rsidP="007B67F8">
      <w:r w:rsidRPr="008366C2">
        <w:rPr>
          <w:noProof/>
        </w:rPr>
        <w:drawing>
          <wp:inline distT="0" distB="0" distL="0" distR="0" wp14:anchorId="213F563B" wp14:editId="39632B71">
            <wp:extent cx="3675017" cy="3309178"/>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2745" cy="3325142"/>
                    </a:xfrm>
                    <a:prstGeom prst="rect">
                      <a:avLst/>
                    </a:prstGeom>
                  </pic:spPr>
                </pic:pic>
              </a:graphicData>
            </a:graphic>
          </wp:inline>
        </w:drawing>
      </w:r>
    </w:p>
    <w:p w14:paraId="750FC5BB" w14:textId="3E3BC49D" w:rsidR="005D2092" w:rsidRDefault="001A3C9C" w:rsidP="007B67F8">
      <w:r>
        <w:t>S</w:t>
      </w:r>
      <w:r w:rsidR="00133A06">
        <w:t xml:space="preserve">ource: </w:t>
      </w:r>
      <w:r w:rsidR="00751CE4">
        <w:t>Vranic and Molfetas (2022).</w:t>
      </w:r>
    </w:p>
    <w:p w14:paraId="3F295592" w14:textId="5E5C535F" w:rsidR="004E49FD" w:rsidRDefault="004E49FD">
      <w:r>
        <w:br w:type="page"/>
      </w:r>
    </w:p>
    <w:p w14:paraId="1E7B3DED" w14:textId="1BC9D238" w:rsidR="004E49FD" w:rsidRPr="00BC08D5" w:rsidRDefault="004E49FD" w:rsidP="004E49FD">
      <w:pPr>
        <w:pStyle w:val="Heading1"/>
        <w:numPr>
          <w:ilvl w:val="0"/>
          <w:numId w:val="0"/>
        </w:numPr>
        <w:jc w:val="both"/>
        <w:rPr>
          <w:sz w:val="26"/>
          <w:szCs w:val="26"/>
        </w:rPr>
      </w:pPr>
      <w:bookmarkStart w:id="49" w:name="_Toc175228093"/>
      <w:r w:rsidRPr="00BC08D5">
        <w:rPr>
          <w:sz w:val="26"/>
          <w:szCs w:val="26"/>
        </w:rPr>
        <w:lastRenderedPageBreak/>
        <w:t>Annex I</w:t>
      </w:r>
      <w:r>
        <w:rPr>
          <w:sz w:val="26"/>
          <w:szCs w:val="26"/>
        </w:rPr>
        <w:t>V</w:t>
      </w:r>
      <w:r w:rsidRPr="00BC08D5">
        <w:rPr>
          <w:sz w:val="26"/>
          <w:szCs w:val="26"/>
        </w:rPr>
        <w:t>: A Case Study of the Impact of Regulations: Wind Turbine Manufacturing in Viet</w:t>
      </w:r>
      <w:r w:rsidR="0021777A">
        <w:rPr>
          <w:sz w:val="26"/>
          <w:szCs w:val="26"/>
        </w:rPr>
        <w:t xml:space="preserve"> N</w:t>
      </w:r>
      <w:r w:rsidRPr="00BC08D5">
        <w:rPr>
          <w:sz w:val="26"/>
          <w:szCs w:val="26"/>
        </w:rPr>
        <w:t>am</w:t>
      </w:r>
      <w:bookmarkEnd w:id="49"/>
    </w:p>
    <w:p w14:paraId="79037AF2" w14:textId="77777777" w:rsidR="004E49FD" w:rsidRDefault="004E49FD" w:rsidP="004E49FD">
      <w:pPr>
        <w:spacing w:before="120" w:after="120" w:line="240" w:lineRule="auto"/>
        <w:jc w:val="both"/>
        <w:rPr>
          <w:rStyle w:val="normaltextrun"/>
          <w:rFonts w:cstheme="minorHAnsi"/>
          <w:b/>
          <w:bCs/>
          <w:color w:val="000000" w:themeColor="text1"/>
        </w:rPr>
      </w:pPr>
      <w:r w:rsidRPr="001A3C9C">
        <w:rPr>
          <w:rFonts w:cstheme="minorHAnsi"/>
          <w:b/>
          <w:bCs/>
          <w:color w:val="000000" w:themeColor="text1"/>
        </w:rPr>
        <w:t xml:space="preserve">In March and April 2024, the World Bank conducted a comprehensive Green Investment Climate Diagnostic (GICD) for the wind turbine manufacturing sector in Vietnam. </w:t>
      </w:r>
      <w:r w:rsidRPr="00AA6635">
        <w:rPr>
          <w:rFonts w:cstheme="minorHAnsi"/>
          <w:color w:val="000000" w:themeColor="text1"/>
        </w:rPr>
        <w:t>The GICD reviewed over 25 critical policies, laws, and regulations for investment attraction, entry, and establishment, and included interviews with more than 20 senior private and public stakeholders. Based on the findings, the World Bank proposes reforms to enable investments in wind turbine manufacturing.</w:t>
      </w:r>
    </w:p>
    <w:p w14:paraId="15908B8E" w14:textId="77777777" w:rsidR="004E49FD" w:rsidRDefault="004E49FD" w:rsidP="004E49FD">
      <w:pPr>
        <w:spacing w:before="120" w:after="120" w:line="240" w:lineRule="auto"/>
        <w:jc w:val="both"/>
        <w:rPr>
          <w:rStyle w:val="normaltextrun"/>
          <w:rFonts w:cstheme="minorHAnsi"/>
          <w:color w:val="000000" w:themeColor="text1"/>
        </w:rPr>
      </w:pPr>
      <w:r w:rsidRPr="00603557">
        <w:rPr>
          <w:rStyle w:val="normaltextrun"/>
          <w:rFonts w:cstheme="minorHAnsi"/>
          <w:b/>
          <w:bCs/>
          <w:color w:val="000000" w:themeColor="text1"/>
        </w:rPr>
        <w:t>Despite</w:t>
      </w:r>
      <w:r>
        <w:rPr>
          <w:rStyle w:val="normaltextrun"/>
          <w:rFonts w:cstheme="minorHAnsi"/>
          <w:b/>
          <w:bCs/>
          <w:color w:val="000000" w:themeColor="text1"/>
        </w:rPr>
        <w:t xml:space="preserve"> its potential, the wind turbine manufacturing sector</w:t>
      </w:r>
      <w:r w:rsidRPr="00603557">
        <w:rPr>
          <w:rStyle w:val="normaltextrun"/>
          <w:rFonts w:cstheme="minorHAnsi"/>
          <w:b/>
          <w:bCs/>
          <w:color w:val="000000" w:themeColor="text1"/>
        </w:rPr>
        <w:t xml:space="preserve"> remains nascent in Vietnam</w:t>
      </w:r>
      <w:r w:rsidRPr="00603557">
        <w:rPr>
          <w:rStyle w:val="normaltextrun"/>
          <w:rFonts w:cstheme="minorHAnsi"/>
          <w:color w:val="000000" w:themeColor="text1"/>
        </w:rPr>
        <w:t>. The</w:t>
      </w:r>
      <w:r w:rsidRPr="00603557">
        <w:rPr>
          <w:rStyle w:val="normaltextrun"/>
          <w:rFonts w:cstheme="minorHAnsi"/>
          <w:b/>
          <w:bCs/>
          <w:color w:val="000000" w:themeColor="text1"/>
        </w:rPr>
        <w:t xml:space="preserve"> </w:t>
      </w:r>
      <w:r w:rsidRPr="00603557">
        <w:rPr>
          <w:rStyle w:val="normaltextrun"/>
          <w:rFonts w:cstheme="minorHAnsi"/>
          <w:color w:val="000000" w:themeColor="text1"/>
        </w:rPr>
        <w:t xml:space="preserve">country could benefit from existing manufacturing capabilities, low labor costs, and proximity to Southeast Asia and China. Vietnam's manufacturing exports as a share of GDP are the highest in the region, and labor costs in industrial activities are about </w:t>
      </w:r>
      <w:r w:rsidRPr="006B026B">
        <w:rPr>
          <w:rStyle w:val="normaltextrun"/>
          <w:rFonts w:cstheme="minorHAnsi"/>
          <w:color w:val="000000" w:themeColor="text1"/>
        </w:rPr>
        <w:t xml:space="preserve">are approximately 54 percent lower than </w:t>
      </w:r>
      <w:r>
        <w:rPr>
          <w:rStyle w:val="normaltextrun"/>
          <w:rFonts w:cstheme="minorHAnsi"/>
          <w:color w:val="000000" w:themeColor="text1"/>
        </w:rPr>
        <w:t xml:space="preserve">those </w:t>
      </w:r>
      <w:r w:rsidRPr="006B026B">
        <w:rPr>
          <w:rStyle w:val="normaltextrun"/>
          <w:rFonts w:cstheme="minorHAnsi"/>
          <w:color w:val="000000" w:themeColor="text1"/>
        </w:rPr>
        <w:t>in China</w:t>
      </w:r>
      <w:r>
        <w:rPr>
          <w:rStyle w:val="EndnoteReference"/>
          <w:color w:val="000000" w:themeColor="text1"/>
          <w:sz w:val="20"/>
          <w:szCs w:val="20"/>
        </w:rPr>
        <w:endnoteReference w:id="2"/>
      </w:r>
      <w:r>
        <w:rPr>
          <w:rStyle w:val="normaltextrun"/>
          <w:rFonts w:cstheme="minorHAnsi"/>
          <w:color w:val="000000" w:themeColor="text1"/>
        </w:rPr>
        <w:t>.</w:t>
      </w:r>
      <w:r w:rsidRPr="006B026B" w:rsidDel="006B026B">
        <w:rPr>
          <w:rStyle w:val="normaltextrun"/>
          <w:rFonts w:cstheme="minorHAnsi"/>
          <w:color w:val="000000" w:themeColor="text1"/>
        </w:rPr>
        <w:t xml:space="preserve"> </w:t>
      </w:r>
      <w:r w:rsidRPr="00603557">
        <w:rPr>
          <w:rStyle w:val="normaltextrun"/>
          <w:rFonts w:cstheme="minorHAnsi"/>
          <w:color w:val="000000" w:themeColor="text1"/>
        </w:rPr>
        <w:t>Global wind turbine manufacturers operate assembly facilities geared towards export markets, such as GE Ve</w:t>
      </w:r>
      <w:r>
        <w:rPr>
          <w:rStyle w:val="normaltextrun"/>
          <w:rFonts w:cstheme="minorHAnsi"/>
          <w:color w:val="000000" w:themeColor="text1"/>
        </w:rPr>
        <w:t>r</w:t>
      </w:r>
      <w:r w:rsidRPr="00603557">
        <w:rPr>
          <w:rStyle w:val="normaltextrun"/>
          <w:rFonts w:cstheme="minorHAnsi"/>
          <w:color w:val="000000" w:themeColor="text1"/>
        </w:rPr>
        <w:t>no</w:t>
      </w:r>
      <w:r>
        <w:rPr>
          <w:rStyle w:val="normaltextrun"/>
          <w:rFonts w:cstheme="minorHAnsi"/>
          <w:color w:val="000000" w:themeColor="text1"/>
        </w:rPr>
        <w:t>v</w:t>
      </w:r>
      <w:r w:rsidRPr="00603557">
        <w:rPr>
          <w:rStyle w:val="normaltextrun"/>
          <w:rFonts w:cstheme="minorHAnsi"/>
          <w:color w:val="000000" w:themeColor="text1"/>
        </w:rPr>
        <w:t>a Vietnam, mainly due to the lack of domestic generation demand. Vestas and Siemens Gamesa (SGRE) have been contracted to provide turbine EPCI to most wind farms. However, component</w:t>
      </w:r>
      <w:r>
        <w:rPr>
          <w:rStyle w:val="normaltextrun"/>
          <w:rFonts w:cstheme="minorHAnsi"/>
          <w:color w:val="000000" w:themeColor="text1"/>
        </w:rPr>
        <w:t>s</w:t>
      </w:r>
      <w:r w:rsidRPr="00603557">
        <w:rPr>
          <w:rStyle w:val="normaltextrun"/>
          <w:rFonts w:cstheme="minorHAnsi"/>
          <w:color w:val="000000" w:themeColor="text1"/>
        </w:rPr>
        <w:t xml:space="preserve"> and subcomponent</w:t>
      </w:r>
      <w:r>
        <w:rPr>
          <w:rStyle w:val="normaltextrun"/>
          <w:rFonts w:cstheme="minorHAnsi"/>
          <w:color w:val="000000" w:themeColor="text1"/>
        </w:rPr>
        <w:t>s</w:t>
      </w:r>
      <w:r w:rsidRPr="00603557">
        <w:rPr>
          <w:rStyle w:val="normaltextrun"/>
          <w:rFonts w:cstheme="minorHAnsi"/>
          <w:color w:val="000000" w:themeColor="text1"/>
        </w:rPr>
        <w:t xml:space="preserve"> </w:t>
      </w:r>
      <w:r>
        <w:rPr>
          <w:rStyle w:val="normaltextrun"/>
          <w:rFonts w:cstheme="minorHAnsi"/>
          <w:color w:val="000000" w:themeColor="text1"/>
        </w:rPr>
        <w:t>are</w:t>
      </w:r>
      <w:r w:rsidRPr="00603557">
        <w:rPr>
          <w:rStyle w:val="normaltextrun"/>
          <w:rFonts w:cstheme="minorHAnsi"/>
          <w:color w:val="000000" w:themeColor="text1"/>
        </w:rPr>
        <w:t xml:space="preserve"> primarily imported, and local production remains minimal.</w:t>
      </w:r>
      <w:r>
        <w:rPr>
          <w:rStyle w:val="normaltextrun"/>
          <w:rFonts w:cstheme="minorHAnsi"/>
          <w:color w:val="000000" w:themeColor="text1"/>
        </w:rPr>
        <w:t xml:space="preserve"> </w:t>
      </w:r>
    </w:p>
    <w:p w14:paraId="654680F4" w14:textId="77777777" w:rsidR="004E49FD" w:rsidRPr="00CD1C94" w:rsidRDefault="004E49FD" w:rsidP="004E49FD">
      <w:pPr>
        <w:spacing w:before="120" w:after="120" w:line="240" w:lineRule="auto"/>
        <w:jc w:val="both"/>
        <w:rPr>
          <w:rStyle w:val="normaltextrun"/>
          <w:rFonts w:cstheme="minorHAnsi"/>
          <w:color w:val="000000" w:themeColor="text1"/>
        </w:rPr>
      </w:pPr>
      <w:r w:rsidRPr="00CD1C94">
        <w:rPr>
          <w:rStyle w:val="normaltextrun"/>
          <w:rFonts w:cstheme="minorHAnsi"/>
          <w:b/>
          <w:bCs/>
          <w:color w:val="000000" w:themeColor="text1"/>
        </w:rPr>
        <w:t xml:space="preserve">Vietnam's </w:t>
      </w:r>
      <w:r>
        <w:rPr>
          <w:rStyle w:val="normaltextrun"/>
          <w:rFonts w:cstheme="minorHAnsi"/>
          <w:b/>
          <w:bCs/>
          <w:color w:val="000000" w:themeColor="text1"/>
        </w:rPr>
        <w:t>competitive edge</w:t>
      </w:r>
      <w:r w:rsidRPr="00CD1C94">
        <w:rPr>
          <w:rStyle w:val="normaltextrun"/>
          <w:rFonts w:cstheme="minorHAnsi"/>
          <w:b/>
          <w:bCs/>
          <w:color w:val="000000" w:themeColor="text1"/>
        </w:rPr>
        <w:t xml:space="preserve"> in wind turbine value chains may lie in </w:t>
      </w:r>
      <w:r>
        <w:rPr>
          <w:rStyle w:val="normaltextrun"/>
          <w:rFonts w:cstheme="minorHAnsi"/>
          <w:b/>
          <w:bCs/>
          <w:color w:val="000000" w:themeColor="text1"/>
        </w:rPr>
        <w:t>exporting</w:t>
      </w:r>
      <w:r w:rsidRPr="00CD1C94">
        <w:rPr>
          <w:rStyle w:val="normaltextrun"/>
          <w:rFonts w:cstheme="minorHAnsi"/>
          <w:b/>
          <w:bCs/>
          <w:color w:val="000000" w:themeColor="text1"/>
        </w:rPr>
        <w:t xml:space="preserve"> components such as blades and electrical parts</w:t>
      </w:r>
      <w:r w:rsidRPr="00CD1C94">
        <w:rPr>
          <w:rStyle w:val="normaltextrun"/>
          <w:rFonts w:cstheme="minorHAnsi"/>
          <w:color w:val="000000" w:themeColor="text1"/>
        </w:rPr>
        <w:t xml:space="preserve">. </w:t>
      </w:r>
      <w:r w:rsidRPr="002A580C">
        <w:rPr>
          <w:rStyle w:val="normaltextrun"/>
          <w:rFonts w:cstheme="minorHAnsi"/>
          <w:color w:val="000000" w:themeColor="text1"/>
        </w:rPr>
        <w:t xml:space="preserve">Vietnam's expertise in composite materials, precision manufacturing, and electronics, combined with a skilled labor force from related industries, suggests </w:t>
      </w:r>
      <w:r>
        <w:rPr>
          <w:rStyle w:val="normaltextrun"/>
          <w:rFonts w:cstheme="minorHAnsi"/>
          <w:color w:val="000000" w:themeColor="text1"/>
        </w:rPr>
        <w:t>this potential</w:t>
      </w:r>
      <w:r w:rsidRPr="002A580C">
        <w:rPr>
          <w:rStyle w:val="normaltextrun"/>
          <w:rFonts w:cstheme="minorHAnsi"/>
          <w:color w:val="000000" w:themeColor="text1"/>
        </w:rPr>
        <w:t xml:space="preserve">. However, lagging local demand for wind energy and export-oriented assembly facilities </w:t>
      </w:r>
      <w:r>
        <w:rPr>
          <w:rStyle w:val="normaltextrun"/>
          <w:rFonts w:cstheme="minorHAnsi"/>
          <w:color w:val="000000" w:themeColor="text1"/>
        </w:rPr>
        <w:t xml:space="preserve">may </w:t>
      </w:r>
      <w:r w:rsidRPr="002A580C">
        <w:rPr>
          <w:rStyle w:val="normaltextrun"/>
          <w:rFonts w:cstheme="minorHAnsi"/>
          <w:color w:val="000000" w:themeColor="text1"/>
        </w:rPr>
        <w:t xml:space="preserve">indicate a need to support export-focused </w:t>
      </w:r>
      <w:r>
        <w:rPr>
          <w:rStyle w:val="normaltextrun"/>
          <w:rFonts w:cstheme="minorHAnsi"/>
          <w:color w:val="000000" w:themeColor="text1"/>
        </w:rPr>
        <w:t>investments</w:t>
      </w:r>
      <w:r w:rsidRPr="002A580C">
        <w:rPr>
          <w:rStyle w:val="normaltextrun"/>
          <w:rFonts w:cstheme="minorHAnsi"/>
          <w:color w:val="000000" w:themeColor="text1"/>
        </w:rPr>
        <w:t xml:space="preserve"> the medium term. Further analysis is required to confirm this assessment definitively.</w:t>
      </w:r>
    </w:p>
    <w:p w14:paraId="5CCDFD96" w14:textId="77777777" w:rsidR="004E49FD" w:rsidRPr="00AA6635" w:rsidRDefault="004E49FD" w:rsidP="004E49FD">
      <w:pPr>
        <w:pStyle w:val="Body"/>
        <w:rPr>
          <w:b/>
          <w:bCs/>
        </w:rPr>
      </w:pPr>
      <w:r w:rsidRPr="00AA6635">
        <w:rPr>
          <w:b/>
          <w:bCs/>
        </w:rPr>
        <w:t>However, the growth potential seems to be restricted by several regulatory barriers. These include the following:</w:t>
      </w:r>
    </w:p>
    <w:p w14:paraId="65864160" w14:textId="77777777" w:rsidR="004E49FD" w:rsidRPr="00CB0E52" w:rsidRDefault="004E49FD" w:rsidP="004E49FD">
      <w:pPr>
        <w:pStyle w:val="ListParagraph"/>
        <w:numPr>
          <w:ilvl w:val="0"/>
          <w:numId w:val="37"/>
        </w:numPr>
        <w:spacing w:before="120" w:after="120" w:line="240" w:lineRule="auto"/>
        <w:jc w:val="both"/>
        <w:rPr>
          <w:rFonts w:eastAsia="Times New Roman" w:cstheme="minorHAnsi"/>
          <w:color w:val="000000" w:themeColor="text1"/>
        </w:rPr>
      </w:pPr>
      <w:r w:rsidRPr="00125598">
        <w:rPr>
          <w:rFonts w:eastAsia="Times New Roman" w:cstheme="minorHAnsi"/>
          <w:b/>
          <w:bCs/>
          <w:color w:val="000000" w:themeColor="text1"/>
        </w:rPr>
        <w:t>Lack of a comprehensive law for industrial investments.</w:t>
      </w:r>
      <w:r>
        <w:rPr>
          <w:rFonts w:eastAsia="Times New Roman" w:cstheme="minorHAnsi"/>
          <w:b/>
          <w:bCs/>
          <w:color w:val="000000" w:themeColor="text1"/>
        </w:rPr>
        <w:t xml:space="preserve"> </w:t>
      </w:r>
      <w:r w:rsidRPr="00F00B96">
        <w:rPr>
          <w:rFonts w:eastAsia="Times New Roman" w:cstheme="minorHAnsi"/>
          <w:color w:val="000000" w:themeColor="text1"/>
        </w:rPr>
        <w:t>Vietnam's legal framework, primarily Decree 111, lacks clarity on conditions, criteria, and procedures for industrial investments, particularly in the wind turbine sector. The absence of a law on industrial development and cumbersome administrative procedures for wind turbine components and parts are major concerns for private sector firms operating in the sector.</w:t>
      </w:r>
    </w:p>
    <w:p w14:paraId="6A86F091" w14:textId="14633415" w:rsidR="004E49FD" w:rsidRDefault="004E49FD" w:rsidP="004E49FD">
      <w:pPr>
        <w:pStyle w:val="ListParagraph"/>
        <w:numPr>
          <w:ilvl w:val="0"/>
          <w:numId w:val="37"/>
        </w:numPr>
        <w:spacing w:before="120" w:after="120" w:line="240" w:lineRule="auto"/>
        <w:jc w:val="both"/>
        <w:rPr>
          <w:rFonts w:eastAsia="Times New Roman" w:cstheme="minorHAnsi"/>
          <w:color w:val="000000" w:themeColor="text1"/>
        </w:rPr>
      </w:pPr>
      <w:r w:rsidRPr="007530C3">
        <w:rPr>
          <w:rFonts w:eastAsia="Times New Roman" w:cstheme="minorHAnsi"/>
          <w:b/>
          <w:bCs/>
          <w:color w:val="000000" w:themeColor="text1"/>
        </w:rPr>
        <w:t xml:space="preserve">Incomplete regulations on green credit, environmental protection, inspections, and greenhouse gas (GHG) inventories. </w:t>
      </w:r>
      <w:r w:rsidRPr="007530C3">
        <w:rPr>
          <w:rFonts w:eastAsia="Times New Roman" w:cstheme="minorHAnsi"/>
          <w:color w:val="000000" w:themeColor="text1"/>
        </w:rPr>
        <w:t>The Ministry of Natural Resources and Environment (MONRE) drafted a Primer Minister’s (PM) Decision on green finance-compliant projects in 2022, but it remains unfinalized. The Law on Environmental Protection No. 72/2020/QH14 and Decree 08/2022/ND-CP for GHG inventories (MRV) are also incomplete, and Viet</w:t>
      </w:r>
      <w:r w:rsidR="00AC3ED2">
        <w:rPr>
          <w:rFonts w:eastAsia="Times New Roman" w:cstheme="minorHAnsi"/>
          <w:color w:val="000000" w:themeColor="text1"/>
        </w:rPr>
        <w:t xml:space="preserve"> N</w:t>
      </w:r>
      <w:r w:rsidRPr="007530C3">
        <w:rPr>
          <w:rFonts w:eastAsia="Times New Roman" w:cstheme="minorHAnsi"/>
          <w:color w:val="000000" w:themeColor="text1"/>
        </w:rPr>
        <w:t>am lacks the necessary infrastructure, human resources, and technical capabilities for effective MRV. Environmental inspections and monitoring are fragmented across multiple government agencies and lack adequate coverage.</w:t>
      </w:r>
    </w:p>
    <w:p w14:paraId="55C7CBB5" w14:textId="77777777" w:rsidR="004E49FD" w:rsidRPr="00CD63ED" w:rsidRDefault="004E49FD" w:rsidP="004E49FD">
      <w:pPr>
        <w:pStyle w:val="ListParagraph"/>
        <w:numPr>
          <w:ilvl w:val="0"/>
          <w:numId w:val="37"/>
        </w:numPr>
        <w:spacing w:before="120" w:after="120" w:line="240" w:lineRule="auto"/>
        <w:jc w:val="both"/>
        <w:rPr>
          <w:rFonts w:cstheme="minorHAnsi"/>
          <w:color w:val="000000" w:themeColor="text1"/>
        </w:rPr>
      </w:pPr>
      <w:r w:rsidRPr="00CD63ED">
        <w:rPr>
          <w:rFonts w:eastAsia="Times New Roman" w:cstheme="minorHAnsi"/>
          <w:b/>
          <w:bCs/>
          <w:color w:val="000000" w:themeColor="text1"/>
        </w:rPr>
        <w:t>Unclear and cumbersome administrative procedure</w:t>
      </w:r>
      <w:r>
        <w:rPr>
          <w:rFonts w:eastAsia="Times New Roman" w:cstheme="minorHAnsi"/>
          <w:b/>
          <w:bCs/>
          <w:color w:val="000000" w:themeColor="text1"/>
        </w:rPr>
        <w:t>s</w:t>
      </w:r>
      <w:r w:rsidRPr="00CD63ED">
        <w:rPr>
          <w:rFonts w:eastAsia="Times New Roman" w:cstheme="minorHAnsi"/>
          <w:b/>
          <w:bCs/>
          <w:color w:val="000000" w:themeColor="text1"/>
        </w:rPr>
        <w:t xml:space="preserve">, which often conflict with other regulations. </w:t>
      </w:r>
      <w:r w:rsidRPr="00CD63ED">
        <w:rPr>
          <w:rFonts w:eastAsia="Times New Roman" w:cstheme="minorHAnsi"/>
          <w:color w:val="000000" w:themeColor="text1"/>
        </w:rPr>
        <w:t>Appraising, granting, auditing, and verification procedures for green projects</w:t>
      </w:r>
      <w:r>
        <w:rPr>
          <w:rFonts w:eastAsia="Times New Roman" w:cstheme="minorHAnsi"/>
          <w:color w:val="000000" w:themeColor="text1"/>
        </w:rPr>
        <w:t>’</w:t>
      </w:r>
      <w:r w:rsidRPr="00CD63ED">
        <w:rPr>
          <w:rFonts w:eastAsia="Times New Roman" w:cstheme="minorHAnsi"/>
          <w:color w:val="000000" w:themeColor="text1"/>
        </w:rPr>
        <w:t xml:space="preserve"> incentives are lengthy and fragmented across several government agencies. </w:t>
      </w:r>
      <w:r>
        <w:rPr>
          <w:rFonts w:eastAsia="Times New Roman" w:cstheme="minorHAnsi"/>
          <w:color w:val="000000" w:themeColor="text1"/>
        </w:rPr>
        <w:t xml:space="preserve">Consultations with private stakeholders suggests, for instance, that approvals can take up to one year. </w:t>
      </w:r>
      <w:r w:rsidRPr="00CD63ED">
        <w:rPr>
          <w:rFonts w:eastAsia="Times New Roman" w:cstheme="minorHAnsi"/>
          <w:color w:val="000000" w:themeColor="text1"/>
        </w:rPr>
        <w:t>Eligibility criteria for specific manufacturing goods are unclear, with wind turbines considered as final products and parts and components excluded. There is also a lack of a well-defined eligibility criteria and scope for tax incentives.</w:t>
      </w:r>
    </w:p>
    <w:p w14:paraId="6CDEC135" w14:textId="5AF4CC34" w:rsidR="00161D66" w:rsidRDefault="004E49FD" w:rsidP="004E49FD">
      <w:pPr>
        <w:pStyle w:val="Body"/>
        <w:rPr>
          <w:rStyle w:val="normaltextrun"/>
          <w:color w:val="000000" w:themeColor="text1"/>
        </w:rPr>
      </w:pPr>
      <w:r w:rsidRPr="00CD63ED">
        <w:rPr>
          <w:rStyle w:val="normaltextrun"/>
          <w:color w:val="000000" w:themeColor="text1"/>
        </w:rPr>
        <w:t xml:space="preserve">Policy recommendations include the need to (i) enact a new Law on Key Industrial Development to provide a legal basis for foundation industries, (ii) issue the PM's Decision on environmental criteria for green </w:t>
      </w:r>
      <w:r w:rsidRPr="00CD63ED">
        <w:rPr>
          <w:rStyle w:val="normaltextrun"/>
          <w:color w:val="000000" w:themeColor="text1"/>
        </w:rPr>
        <w:lastRenderedPageBreak/>
        <w:t>finance and tax incentives, (iii) strengthen the Law on Environmental Protection and Decree 08/2022/ND-CP framework for Greenhouse Gas (GHG) inventories (MRV), and (iv) revise Decree 111/2015/ND-CP and other business regulations to streamline administrative procedures and inspections, reduce administrative procedures during the establishment and operation of businesses, and ensure that information technology infrastructure meets requirements</w:t>
      </w:r>
      <w:r>
        <w:rPr>
          <w:rStyle w:val="normaltextrun"/>
          <w:color w:val="000000" w:themeColor="text1"/>
        </w:rPr>
        <w:t>.</w:t>
      </w:r>
    </w:p>
    <w:p w14:paraId="7C4AD28F" w14:textId="77777777" w:rsidR="00161D66" w:rsidRDefault="00161D66">
      <w:pPr>
        <w:rPr>
          <w:rStyle w:val="normaltextrun"/>
          <w:rFonts w:cstheme="minorHAnsi"/>
          <w:color w:val="000000" w:themeColor="text1"/>
          <w:szCs w:val="24"/>
        </w:rPr>
      </w:pPr>
      <w:r>
        <w:rPr>
          <w:rStyle w:val="normaltextrun"/>
          <w:color w:val="000000" w:themeColor="text1"/>
        </w:rPr>
        <w:br w:type="page"/>
      </w:r>
    </w:p>
    <w:p w14:paraId="39CBCFEF" w14:textId="68F08492" w:rsidR="004E49FD" w:rsidRDefault="00161D66" w:rsidP="00161D66">
      <w:pPr>
        <w:pStyle w:val="Heading1"/>
        <w:numPr>
          <w:ilvl w:val="0"/>
          <w:numId w:val="0"/>
        </w:numPr>
        <w:rPr>
          <w:rStyle w:val="normaltextrun"/>
          <w:color w:val="000000" w:themeColor="text1"/>
        </w:rPr>
      </w:pPr>
      <w:bookmarkStart w:id="50" w:name="_Toc175228094"/>
      <w:r>
        <w:rPr>
          <w:rStyle w:val="normaltextrun"/>
          <w:color w:val="000000" w:themeColor="text1"/>
        </w:rPr>
        <w:lastRenderedPageBreak/>
        <w:t xml:space="preserve">Annex V: Lessons </w:t>
      </w:r>
      <w:r w:rsidR="00ED35B3">
        <w:rPr>
          <w:rStyle w:val="normaltextrun"/>
          <w:color w:val="000000" w:themeColor="text1"/>
        </w:rPr>
        <w:t>from Viet Nam’s recent reform of business regulations relevant to other countries</w:t>
      </w:r>
      <w:bookmarkEnd w:id="50"/>
    </w:p>
    <w:p w14:paraId="5E122DFC" w14:textId="77777777" w:rsidR="00ED35B3" w:rsidRDefault="00ED35B3" w:rsidP="00ED35B3"/>
    <w:p w14:paraId="1FC3E024" w14:textId="323830F2" w:rsidR="00ED35B3" w:rsidRDefault="00ED35B3" w:rsidP="00ED35B3">
      <w:r>
        <w:t>The experience of</w:t>
      </w:r>
      <w:r w:rsidR="00354B16">
        <w:t xml:space="preserve"> Viet Nam in the implementation of</w:t>
      </w:r>
      <w:r>
        <w:t xml:space="preserve"> Resolution 68 </w:t>
      </w:r>
      <w:r w:rsidR="00354B16">
        <w:t>provides important lessons that can be useful to other economies seeki</w:t>
      </w:r>
      <w:r w:rsidR="003A32AB">
        <w:t xml:space="preserve">ng to </w:t>
      </w:r>
      <w:r w:rsidR="006B1D5C">
        <w:t xml:space="preserve">launch a reform program to improve </w:t>
      </w:r>
      <w:r w:rsidR="003A32AB">
        <w:t>the regulatory environment for businesses. The</w:t>
      </w:r>
      <w:r w:rsidR="00866B02">
        <w:t xml:space="preserve"> main</w:t>
      </w:r>
      <w:r w:rsidR="003A32AB">
        <w:t xml:space="preserve"> lessons are summarized below:</w:t>
      </w:r>
    </w:p>
    <w:p w14:paraId="7B09F3C3" w14:textId="62ED3DFC" w:rsidR="00A114BE" w:rsidRDefault="00FD3F7F" w:rsidP="009708B6">
      <w:pPr>
        <w:pStyle w:val="ListParagraph"/>
        <w:numPr>
          <w:ilvl w:val="0"/>
          <w:numId w:val="47"/>
        </w:numPr>
        <w:jc w:val="both"/>
      </w:pPr>
      <w:r w:rsidRPr="00D64CD6">
        <w:rPr>
          <w:i/>
          <w:iCs/>
        </w:rPr>
        <w:t>A big, government-wide reform program needs a strong coordination mechanism at the center of the government</w:t>
      </w:r>
      <w:r w:rsidR="00A648B5" w:rsidRPr="00D64CD6">
        <w:rPr>
          <w:i/>
          <w:iCs/>
        </w:rPr>
        <w:t xml:space="preserve"> and political support of top leaders</w:t>
      </w:r>
      <w:r w:rsidR="00A648B5">
        <w:t xml:space="preserve">. The Resolution 68 gives OOG/APCA </w:t>
      </w:r>
      <w:r w:rsidR="002B7D00">
        <w:t xml:space="preserve">a strong coordinating role and the tasks to </w:t>
      </w:r>
      <w:r w:rsidR="00B149D7">
        <w:t>conduct</w:t>
      </w:r>
      <w:r w:rsidR="002B7D00">
        <w:t xml:space="preserve"> independent reviews which </w:t>
      </w:r>
      <w:r w:rsidR="008F46C0">
        <w:t xml:space="preserve">makes it possible for OOG/APCA to push ministries and agencies </w:t>
      </w:r>
      <w:r w:rsidR="0037223C">
        <w:t xml:space="preserve">to implement the Resolution and also gives APCA tools to argue for stronger reform measures when needed. </w:t>
      </w:r>
      <w:r w:rsidR="00704505">
        <w:t>APCA is also the secretariat of the ACAPR</w:t>
      </w:r>
      <w:r w:rsidR="00BF106E">
        <w:t>, which helps APCA to collect comments and feedback from the business community about what</w:t>
      </w:r>
      <w:r w:rsidR="00F61289">
        <w:t xml:space="preserve"> regulations should be reformed the most in important sectors. </w:t>
      </w:r>
      <w:r w:rsidR="00FF6C13">
        <w:t xml:space="preserve">At the center of the government, OOG/APCA has a better access to government leaders and </w:t>
      </w:r>
      <w:r w:rsidR="00A933AC">
        <w:t xml:space="preserve">the </w:t>
      </w:r>
      <w:r w:rsidR="00EA24A8">
        <w:t>regulatory</w:t>
      </w:r>
      <w:r w:rsidR="00A933AC">
        <w:t xml:space="preserve"> and administrative reform is also high in the government’s agenda. </w:t>
      </w:r>
      <w:r w:rsidR="005F6EFA">
        <w:t>In 2023, the</w:t>
      </w:r>
      <w:r w:rsidR="006728C4">
        <w:t xml:space="preserve"> Prime Minister</w:t>
      </w:r>
      <w:r w:rsidR="005F6EFA">
        <w:t xml:space="preserve"> established an</w:t>
      </w:r>
      <w:r w:rsidR="006728C4">
        <w:t xml:space="preserve"> Administrative Reform Task Force </w:t>
      </w:r>
      <w:r w:rsidR="00D55696">
        <w:t xml:space="preserve">with a Deputy Prime Minister as </w:t>
      </w:r>
      <w:r w:rsidR="002019AF">
        <w:t>the Leader</w:t>
      </w:r>
      <w:r w:rsidR="00D3490F">
        <w:t xml:space="preserve"> and </w:t>
      </w:r>
      <w:r w:rsidR="002238F3">
        <w:t>ministers/deputy ministers</w:t>
      </w:r>
      <w:r w:rsidR="00D3490F">
        <w:t xml:space="preserve"> as member</w:t>
      </w:r>
      <w:r w:rsidR="002238F3">
        <w:t>s</w:t>
      </w:r>
      <w:r w:rsidR="00D3490F">
        <w:t xml:space="preserve"> of the Task Force.</w:t>
      </w:r>
      <w:r w:rsidR="00F65B35">
        <w:t xml:space="preserve"> This is key driver of the progress in </w:t>
      </w:r>
      <w:r w:rsidR="00DE34F3">
        <w:t>the implementation of Resolution 68 so far.</w:t>
      </w:r>
    </w:p>
    <w:p w14:paraId="6DCAA318" w14:textId="77777777" w:rsidR="00B149D7" w:rsidRPr="00D64CD6" w:rsidRDefault="00B149D7" w:rsidP="00D64CD6">
      <w:pPr>
        <w:pStyle w:val="ListParagraph"/>
        <w:jc w:val="both"/>
      </w:pPr>
    </w:p>
    <w:p w14:paraId="31802AD7" w14:textId="7E14B252" w:rsidR="003A32AB" w:rsidRDefault="0076349A" w:rsidP="009708B6">
      <w:pPr>
        <w:pStyle w:val="ListParagraph"/>
        <w:numPr>
          <w:ilvl w:val="0"/>
          <w:numId w:val="47"/>
        </w:numPr>
        <w:jc w:val="both"/>
      </w:pPr>
      <w:r w:rsidRPr="00D64CD6">
        <w:rPr>
          <w:i/>
          <w:iCs/>
        </w:rPr>
        <w:t xml:space="preserve">Target setting </w:t>
      </w:r>
      <w:r w:rsidR="006125D0" w:rsidRPr="00D64CD6">
        <w:rPr>
          <w:i/>
          <w:iCs/>
        </w:rPr>
        <w:t>needs to consider a balanced approach to regulatory reform</w:t>
      </w:r>
      <w:r w:rsidR="0039170A" w:rsidRPr="00D64CD6">
        <w:rPr>
          <w:i/>
          <w:iCs/>
        </w:rPr>
        <w:t xml:space="preserve"> in line with the </w:t>
      </w:r>
      <w:r w:rsidR="006C67CD" w:rsidRPr="00D64CD6">
        <w:rPr>
          <w:i/>
          <w:iCs/>
        </w:rPr>
        <w:t>country priorities</w:t>
      </w:r>
      <w:r w:rsidR="00D2396C" w:rsidRPr="00D64CD6">
        <w:rPr>
          <w:i/>
          <w:iCs/>
        </w:rPr>
        <w:t xml:space="preserve">. </w:t>
      </w:r>
      <w:r w:rsidR="00866B02">
        <w:t xml:space="preserve">Resolution 68 </w:t>
      </w:r>
      <w:r w:rsidR="000C493F">
        <w:t>covered several objectives to reduce the burden of regu</w:t>
      </w:r>
      <w:r w:rsidR="00B46B58">
        <w:t>lations on businesses, control the flow of new regulations, consolidat</w:t>
      </w:r>
      <w:r w:rsidR="00706108">
        <w:t>e</w:t>
      </w:r>
      <w:r w:rsidR="00B46B58">
        <w:t xml:space="preserve"> legal documents, </w:t>
      </w:r>
      <w:r w:rsidR="00706108">
        <w:t xml:space="preserve">and </w:t>
      </w:r>
      <w:r w:rsidR="00B46B58">
        <w:t xml:space="preserve">develop digital </w:t>
      </w:r>
      <w:r w:rsidR="00FE3AE6">
        <w:t xml:space="preserve">tools for regulatory development, among others. Yet, the quantitative targets of the program </w:t>
      </w:r>
      <w:r w:rsidR="00F8337D">
        <w:t xml:space="preserve">prioritized </w:t>
      </w:r>
      <w:r w:rsidR="00015D26">
        <w:t>reviewing the stock of existing regulations—</w:t>
      </w:r>
      <w:r w:rsidR="00F8337D">
        <w:t xml:space="preserve">simplifying or reducing regulations and cutting compliance costs by 20 percent over </w:t>
      </w:r>
      <w:r w:rsidR="0039170A">
        <w:t>5 years</w:t>
      </w:r>
      <w:r w:rsidR="0053302D">
        <w:t xml:space="preserve">, across </w:t>
      </w:r>
      <w:r w:rsidR="007E42A4">
        <w:t>all ministries</w:t>
      </w:r>
      <w:r w:rsidR="0039170A">
        <w:t xml:space="preserve">. </w:t>
      </w:r>
      <w:r w:rsidR="00015D26">
        <w:t xml:space="preserve">Implementation </w:t>
      </w:r>
      <w:r w:rsidR="00F57FF3">
        <w:t xml:space="preserve">and reporting </w:t>
      </w:r>
      <w:r w:rsidR="007E42A4">
        <w:t>follow</w:t>
      </w:r>
      <w:r w:rsidR="00F57FF3">
        <w:t xml:space="preserve"> primarily these targets, while other important aspects, such as </w:t>
      </w:r>
      <w:r w:rsidR="00F50950">
        <w:t>the relevance, quality</w:t>
      </w:r>
      <w:r w:rsidR="007E42A4">
        <w:t>,</w:t>
      </w:r>
      <w:r w:rsidR="00F50950">
        <w:t xml:space="preserve"> and impact of new </w:t>
      </w:r>
      <w:r w:rsidR="007E42A4">
        <w:t xml:space="preserve">or amended </w:t>
      </w:r>
      <w:r w:rsidR="00F50950">
        <w:t>regulations received less attention.</w:t>
      </w:r>
      <w:r w:rsidR="0053302D">
        <w:t xml:space="preserve"> In addition, </w:t>
      </w:r>
      <w:r w:rsidR="00383499">
        <w:t xml:space="preserve">having clear criteria </w:t>
      </w:r>
      <w:r w:rsidR="006A36FF">
        <w:t xml:space="preserve">to identify the regulations that need streamlining </w:t>
      </w:r>
      <w:r w:rsidR="00910D1F">
        <w:t xml:space="preserve">may </w:t>
      </w:r>
      <w:r w:rsidR="00964DEB">
        <w:t xml:space="preserve">be more conducive to </w:t>
      </w:r>
      <w:r w:rsidR="006F3257">
        <w:t xml:space="preserve">substantive improvements than </w:t>
      </w:r>
      <w:r w:rsidR="00910D1F">
        <w:t xml:space="preserve">letting government agencies propose </w:t>
      </w:r>
      <w:r w:rsidR="00964DEB">
        <w:t>specific regulations</w:t>
      </w:r>
      <w:r w:rsidR="006F3257">
        <w:t xml:space="preserve"> for simplification</w:t>
      </w:r>
      <w:r w:rsidR="0002419F">
        <w:t>.</w:t>
      </w:r>
      <w:r w:rsidR="00964DEB">
        <w:t xml:space="preserve"> </w:t>
      </w:r>
    </w:p>
    <w:p w14:paraId="727F7357" w14:textId="77777777" w:rsidR="00706108" w:rsidRDefault="00706108" w:rsidP="00D64CD6">
      <w:pPr>
        <w:pStyle w:val="ListParagraph"/>
        <w:jc w:val="both"/>
      </w:pPr>
    </w:p>
    <w:p w14:paraId="6495AA59" w14:textId="0AB63A4B" w:rsidR="00245336" w:rsidRDefault="006125D0" w:rsidP="009708B6">
      <w:pPr>
        <w:pStyle w:val="ListParagraph"/>
        <w:numPr>
          <w:ilvl w:val="0"/>
          <w:numId w:val="47"/>
        </w:numPr>
        <w:jc w:val="both"/>
      </w:pPr>
      <w:r w:rsidRPr="00D64CD6">
        <w:rPr>
          <w:i/>
          <w:iCs/>
        </w:rPr>
        <w:t xml:space="preserve">Establishing a </w:t>
      </w:r>
      <w:r w:rsidR="00384EDB" w:rsidRPr="00D64CD6">
        <w:rPr>
          <w:i/>
          <w:iCs/>
        </w:rPr>
        <w:t xml:space="preserve">comprehensive </w:t>
      </w:r>
      <w:r w:rsidRPr="00D64CD6">
        <w:rPr>
          <w:i/>
          <w:iCs/>
        </w:rPr>
        <w:t xml:space="preserve">baseline </w:t>
      </w:r>
      <w:r w:rsidR="00427509" w:rsidRPr="00D64CD6">
        <w:rPr>
          <w:i/>
          <w:iCs/>
        </w:rPr>
        <w:t xml:space="preserve">of compliance costs </w:t>
      </w:r>
      <w:r w:rsidRPr="00D64CD6">
        <w:rPr>
          <w:i/>
          <w:iCs/>
        </w:rPr>
        <w:t xml:space="preserve">may </w:t>
      </w:r>
      <w:r w:rsidR="00427509" w:rsidRPr="00D64CD6">
        <w:rPr>
          <w:i/>
          <w:iCs/>
        </w:rPr>
        <w:t>not be feasible or cost-effective</w:t>
      </w:r>
      <w:r w:rsidR="0002419F" w:rsidRPr="00D64CD6">
        <w:rPr>
          <w:i/>
          <w:iCs/>
        </w:rPr>
        <w:t xml:space="preserve">. </w:t>
      </w:r>
      <w:r w:rsidR="0002419F">
        <w:t xml:space="preserve">Resolution 68 </w:t>
      </w:r>
      <w:r w:rsidR="00A36FE3">
        <w:t xml:space="preserve">results indicators relied on setting baselines on the total stock of </w:t>
      </w:r>
      <w:r w:rsidR="00E20160">
        <w:t xml:space="preserve">business </w:t>
      </w:r>
      <w:r w:rsidR="00A36FE3">
        <w:t xml:space="preserve">regulations and compliance costs in the first year of implementation. </w:t>
      </w:r>
      <w:r w:rsidR="00DB7279">
        <w:t>However, this requires significant effort and technical knowledge</w:t>
      </w:r>
      <w:r w:rsidR="002452C8">
        <w:t xml:space="preserve">, especially </w:t>
      </w:r>
      <w:r w:rsidR="00E20160">
        <w:t xml:space="preserve">to </w:t>
      </w:r>
      <w:r w:rsidR="002452C8">
        <w:t>calculat</w:t>
      </w:r>
      <w:r w:rsidR="00E20160">
        <w:t>e</w:t>
      </w:r>
      <w:r w:rsidR="002452C8">
        <w:t xml:space="preserve"> compliance costs based on the Standard Cost Model. In practice, this approach </w:t>
      </w:r>
      <w:r w:rsidR="006C24CB">
        <w:t xml:space="preserve">proved unfeasible, complicating measurement </w:t>
      </w:r>
      <w:r w:rsidR="005F5CA4">
        <w:t>of progress against Resolution 68 target</w:t>
      </w:r>
      <w:r w:rsidR="00E20160">
        <w:t>s</w:t>
      </w:r>
      <w:r w:rsidR="005F5CA4">
        <w:t xml:space="preserve">. </w:t>
      </w:r>
      <w:r w:rsidR="00B07056">
        <w:t xml:space="preserve">Instead of calculating compliance costs for the entire stock of regulations, </w:t>
      </w:r>
      <w:r w:rsidR="00281C6B">
        <w:t>more cost-effective approaches could be considered</w:t>
      </w:r>
      <w:r w:rsidR="00AE4136">
        <w:t xml:space="preserve"> to reduce regulatory burden</w:t>
      </w:r>
      <w:r w:rsidR="00281C6B">
        <w:t xml:space="preserve">. </w:t>
      </w:r>
      <w:r w:rsidR="00170919">
        <w:t>These may include</w:t>
      </w:r>
      <w:r w:rsidR="00AE4136">
        <w:t xml:space="preserve">: i) </w:t>
      </w:r>
      <w:r w:rsidR="00257AB1">
        <w:t xml:space="preserve">using other data sources, such as administrative burden instead of a </w:t>
      </w:r>
      <w:r w:rsidR="000527CA">
        <w:t>comprehensive compliance cost calculation</w:t>
      </w:r>
      <w:r w:rsidR="00146BD2">
        <w:t xml:space="preserve">, complemented with </w:t>
      </w:r>
      <w:r w:rsidR="00B96EDF">
        <w:t>firm survey</w:t>
      </w:r>
      <w:r w:rsidR="00146BD2">
        <w:t xml:space="preserve">s and other data to identify burdensome regulations; ii) </w:t>
      </w:r>
      <w:r w:rsidR="00463BD4">
        <w:t xml:space="preserve">invest in </w:t>
      </w:r>
      <w:r w:rsidR="002D084E">
        <w:t xml:space="preserve">improving the quality of </w:t>
      </w:r>
      <w:r w:rsidR="002B3DC9">
        <w:t>assessment o</w:t>
      </w:r>
      <w:r w:rsidR="002D084E">
        <w:t>n</w:t>
      </w:r>
      <w:r w:rsidR="002B3DC9">
        <w:t xml:space="preserve"> the benefits and costs of critical regulations proposed for amendment; </w:t>
      </w:r>
      <w:r w:rsidR="006F1E32">
        <w:t xml:space="preserve">and iii) consider other type of targets </w:t>
      </w:r>
      <w:r w:rsidR="006F1E32">
        <w:lastRenderedPageBreak/>
        <w:t>to control the stock and flow of regulations (such as ‘one in, X out</w:t>
      </w:r>
      <w:r w:rsidR="006C3344">
        <w:t>’)</w:t>
      </w:r>
      <w:r w:rsidR="002452C8">
        <w:t>.</w:t>
      </w:r>
      <w:r w:rsidR="006C3344">
        <w:t xml:space="preserve"> Identifying the most adequate approach </w:t>
      </w:r>
      <w:r w:rsidR="00245336">
        <w:t xml:space="preserve">requires </w:t>
      </w:r>
      <w:r w:rsidR="009708B6">
        <w:t>a</w:t>
      </w:r>
      <w:r w:rsidR="002D084E">
        <w:t xml:space="preserve"> detailed</w:t>
      </w:r>
      <w:r w:rsidR="009708B6">
        <w:t xml:space="preserve"> assessment and </w:t>
      </w:r>
      <w:r w:rsidR="002D084E">
        <w:t>consideration to</w:t>
      </w:r>
      <w:r w:rsidR="006C3344">
        <w:t xml:space="preserve"> the government objectives and the </w:t>
      </w:r>
      <w:r w:rsidR="00245336">
        <w:t xml:space="preserve">technical capacity and resources available for regulatory reform. </w:t>
      </w:r>
    </w:p>
    <w:p w14:paraId="3FD55AA4" w14:textId="77777777" w:rsidR="002D084E" w:rsidRDefault="002D084E" w:rsidP="00D64CD6">
      <w:pPr>
        <w:pStyle w:val="ListParagraph"/>
        <w:jc w:val="both"/>
      </w:pPr>
    </w:p>
    <w:p w14:paraId="71A2CBA7" w14:textId="6D56B70B" w:rsidR="0007385A" w:rsidRDefault="00023C7F" w:rsidP="00863115">
      <w:pPr>
        <w:pStyle w:val="ListParagraph"/>
        <w:numPr>
          <w:ilvl w:val="0"/>
          <w:numId w:val="47"/>
        </w:numPr>
        <w:jc w:val="both"/>
      </w:pPr>
      <w:r w:rsidRPr="00D64CD6">
        <w:rPr>
          <w:i/>
          <w:iCs/>
        </w:rPr>
        <w:t xml:space="preserve">Data is critical to reform success but requires </w:t>
      </w:r>
      <w:r w:rsidR="00251CBA" w:rsidRPr="00D64CD6">
        <w:rPr>
          <w:i/>
          <w:iCs/>
        </w:rPr>
        <w:t>building fundamentals for collecting and sharing it</w:t>
      </w:r>
      <w:r w:rsidR="009708B6" w:rsidRPr="00D64CD6">
        <w:rPr>
          <w:i/>
          <w:iCs/>
        </w:rPr>
        <w:t>.</w:t>
      </w:r>
      <w:r w:rsidR="009708B6">
        <w:t xml:space="preserve"> </w:t>
      </w:r>
      <w:r w:rsidR="00555452">
        <w:t xml:space="preserve">Granular data on </w:t>
      </w:r>
      <w:r w:rsidR="00FD3239">
        <w:t>regulations</w:t>
      </w:r>
      <w:r w:rsidR="002D084E">
        <w:t xml:space="preserve"> is necessary to allow for evidence-based design and implementation of regulatory reform programs. </w:t>
      </w:r>
      <w:r w:rsidR="00C92AAC">
        <w:t xml:space="preserve">Data on regulated entities is also essential </w:t>
      </w:r>
      <w:r w:rsidR="00011035">
        <w:t>for the effectiveness of risk-based approaches to regulations (</w:t>
      </w:r>
      <w:r w:rsidR="002D084E">
        <w:t>including</w:t>
      </w:r>
      <w:r w:rsidR="00011035">
        <w:t xml:space="preserve"> efficient inspections). </w:t>
      </w:r>
      <w:r w:rsidR="0013312C">
        <w:t xml:space="preserve">Viet Nam has made important efforts to </w:t>
      </w:r>
      <w:r w:rsidR="00235837">
        <w:t xml:space="preserve">improve </w:t>
      </w:r>
      <w:r w:rsidR="004C2875">
        <w:t xml:space="preserve">the </w:t>
      </w:r>
      <w:r w:rsidR="00706108">
        <w:t>transparency</w:t>
      </w:r>
      <w:r w:rsidR="00235837">
        <w:t xml:space="preserve"> of information on</w:t>
      </w:r>
      <w:r w:rsidR="004C2875">
        <w:t xml:space="preserve"> existing</w:t>
      </w:r>
      <w:r w:rsidR="00235837">
        <w:t xml:space="preserve"> regulations, but </w:t>
      </w:r>
      <w:r w:rsidR="00A43170">
        <w:t xml:space="preserve">certain foundational aspects </w:t>
      </w:r>
      <w:r w:rsidR="005F248E">
        <w:t xml:space="preserve">to enable better data </w:t>
      </w:r>
      <w:r w:rsidR="00061EE4">
        <w:t>collection and sharing</w:t>
      </w:r>
      <w:r w:rsidR="005F248E">
        <w:t xml:space="preserve"> on business regulations still need improvement. Other countries could consider improving aspects such as</w:t>
      </w:r>
      <w:r w:rsidR="00461F4E">
        <w:t xml:space="preserve">: i) </w:t>
      </w:r>
      <w:r w:rsidR="005F248E">
        <w:t xml:space="preserve">having </w:t>
      </w:r>
      <w:r w:rsidR="005E7EA2">
        <w:t>a standardized terminology</w:t>
      </w:r>
      <w:r w:rsidR="003845DC">
        <w:t>,</w:t>
      </w:r>
      <w:r w:rsidR="005E7EA2">
        <w:t xml:space="preserve"> </w:t>
      </w:r>
      <w:r w:rsidR="005F248E">
        <w:t>defined</w:t>
      </w:r>
      <w:r w:rsidR="003845DC">
        <w:t xml:space="preserve"> in a legal instrument,</w:t>
      </w:r>
      <w:r w:rsidR="005F248E">
        <w:t xml:space="preserve"> </w:t>
      </w:r>
      <w:r w:rsidR="0083521A">
        <w:t xml:space="preserve">to refer to regulatory </w:t>
      </w:r>
      <w:r w:rsidR="004010BA">
        <w:t>instruments (such as ex-ante approvals)</w:t>
      </w:r>
      <w:r w:rsidR="00FC6967">
        <w:t xml:space="preserve">; ii) </w:t>
      </w:r>
      <w:r w:rsidR="008F2F05">
        <w:t xml:space="preserve">classification of </w:t>
      </w:r>
      <w:r w:rsidR="00D31D70">
        <w:t>licensing requirements and operating conditions</w:t>
      </w:r>
      <w:r w:rsidR="008F2F05">
        <w:t xml:space="preserve"> by economic activity (using </w:t>
      </w:r>
      <w:r w:rsidR="004010BA">
        <w:t xml:space="preserve">standard </w:t>
      </w:r>
      <w:r w:rsidR="008F2F05">
        <w:t xml:space="preserve">industry classification); </w:t>
      </w:r>
      <w:r w:rsidR="0015358F">
        <w:t xml:space="preserve">iii) </w:t>
      </w:r>
      <w:r w:rsidR="00FF0D5A">
        <w:t xml:space="preserve">define </w:t>
      </w:r>
      <w:r w:rsidR="00281774">
        <w:t xml:space="preserve">and apply </w:t>
      </w:r>
      <w:r w:rsidR="00FF0D5A">
        <w:t>clear standards on data format (</w:t>
      </w:r>
      <w:r w:rsidR="00D93963">
        <w:t>promoting the</w:t>
      </w:r>
      <w:r w:rsidR="0015358F">
        <w:t xml:space="preserve"> use of structured data</w:t>
      </w:r>
      <w:r w:rsidR="00D93963">
        <w:t xml:space="preserve">), data collection, data </w:t>
      </w:r>
      <w:r w:rsidR="00281774">
        <w:t>sharing, and data privacy</w:t>
      </w:r>
      <w:r w:rsidR="00F20B45">
        <w:t xml:space="preserve">, </w:t>
      </w:r>
      <w:r w:rsidR="0015358F">
        <w:t xml:space="preserve"> </w:t>
      </w:r>
      <w:r w:rsidR="00F20B45">
        <w:t>as part of a government-wide</w:t>
      </w:r>
      <w:r w:rsidR="00377360">
        <w:t xml:space="preserve"> interoperability framework</w:t>
      </w:r>
      <w:r w:rsidR="00DD04F8">
        <w:t xml:space="preserve"> that enables </w:t>
      </w:r>
      <w:r w:rsidR="003A4E0C">
        <w:t>efficient data exchange</w:t>
      </w:r>
      <w:r w:rsidR="0015358F">
        <w:t>.</w:t>
      </w:r>
    </w:p>
    <w:p w14:paraId="49CE10F8" w14:textId="77777777" w:rsidR="003A4E0C" w:rsidRDefault="003A4E0C" w:rsidP="00D64CD6">
      <w:pPr>
        <w:pStyle w:val="ListParagraph"/>
        <w:jc w:val="both"/>
      </w:pPr>
    </w:p>
    <w:p w14:paraId="462F3209" w14:textId="44866C3C" w:rsidR="00427509" w:rsidRDefault="00B575CD" w:rsidP="00863115">
      <w:pPr>
        <w:pStyle w:val="ListParagraph"/>
        <w:numPr>
          <w:ilvl w:val="0"/>
          <w:numId w:val="47"/>
        </w:numPr>
        <w:jc w:val="both"/>
      </w:pPr>
      <w:r>
        <w:rPr>
          <w:i/>
          <w:iCs/>
        </w:rPr>
        <w:t>Ensuring</w:t>
      </w:r>
      <w:r w:rsidR="009D0A3A">
        <w:rPr>
          <w:i/>
          <w:iCs/>
        </w:rPr>
        <w:t xml:space="preserve"> implementation </w:t>
      </w:r>
      <w:r>
        <w:rPr>
          <w:i/>
          <w:iCs/>
        </w:rPr>
        <w:t xml:space="preserve">of regulatory reforms across government agencies </w:t>
      </w:r>
      <w:r w:rsidR="00C342E1">
        <w:rPr>
          <w:i/>
          <w:iCs/>
        </w:rPr>
        <w:t>requires strong incentives</w:t>
      </w:r>
      <w:r w:rsidR="006C28F6">
        <w:rPr>
          <w:i/>
          <w:iCs/>
        </w:rPr>
        <w:t xml:space="preserve"> and private sector participation</w:t>
      </w:r>
      <w:r w:rsidR="0015358F" w:rsidRPr="00D64CD6">
        <w:rPr>
          <w:i/>
          <w:iCs/>
        </w:rPr>
        <w:t xml:space="preserve">. </w:t>
      </w:r>
      <w:r w:rsidR="0015358F">
        <w:t xml:space="preserve">Viet Nam </w:t>
      </w:r>
      <w:r w:rsidR="00D30697">
        <w:t xml:space="preserve">has a strong institutional mechanism </w:t>
      </w:r>
      <w:r w:rsidR="00A747E3">
        <w:t xml:space="preserve">for regulatory reform </w:t>
      </w:r>
      <w:r w:rsidR="00D30697">
        <w:t>with</w:t>
      </w:r>
      <w:r w:rsidR="00FF4BF2">
        <w:t xml:space="preserve">, APCA/OOG, </w:t>
      </w:r>
      <w:r w:rsidR="00A747E3">
        <w:t>at the center of government</w:t>
      </w:r>
      <w:r w:rsidR="00FF4BF2">
        <w:t>,</w:t>
      </w:r>
      <w:r w:rsidR="00A747E3">
        <w:t xml:space="preserve"> and </w:t>
      </w:r>
      <w:r w:rsidR="00D97A17">
        <w:t>an advisory council including private participation. However, this arrangement has not ensured</w:t>
      </w:r>
      <w:r w:rsidR="0038695F">
        <w:t xml:space="preserve"> full engagement of all government entitie</w:t>
      </w:r>
      <w:r w:rsidR="00E5234A">
        <w:t>s</w:t>
      </w:r>
      <w:r w:rsidR="005457C3">
        <w:t>,</w:t>
      </w:r>
      <w:r w:rsidR="00E5234A">
        <w:t xml:space="preserve"> and private sector feedback points at opportunities for </w:t>
      </w:r>
      <w:r w:rsidR="0032388A">
        <w:t>greater involvement</w:t>
      </w:r>
      <w:r w:rsidR="005457C3">
        <w:t xml:space="preserve"> from </w:t>
      </w:r>
      <w:r w:rsidR="00A27CFD">
        <w:t>business representatives</w:t>
      </w:r>
      <w:r w:rsidR="0032388A">
        <w:t xml:space="preserve">. </w:t>
      </w:r>
      <w:r w:rsidR="00506C2C">
        <w:t xml:space="preserve">Other countries pursuing regulatory reform programs could learn from this experience and consider other mechanisms to build incentives for </w:t>
      </w:r>
      <w:r w:rsidR="001E1393">
        <w:t>government agencies and private sector engagement</w:t>
      </w:r>
      <w:r w:rsidR="00CC57E5">
        <w:t xml:space="preserve">, such as </w:t>
      </w:r>
      <w:r w:rsidR="009D7CEC">
        <w:t>success recognition</w:t>
      </w:r>
      <w:r w:rsidR="00C70FD6">
        <w:t xml:space="preserve"> </w:t>
      </w:r>
      <w:r w:rsidR="009D7CEC">
        <w:t>and rewards</w:t>
      </w:r>
      <w:r w:rsidR="00E902A1">
        <w:t xml:space="preserve"> (financial and non-financial)</w:t>
      </w:r>
      <w:r w:rsidR="00E26155">
        <w:t xml:space="preserve">, </w:t>
      </w:r>
      <w:r w:rsidR="005758FD">
        <w:t>external reviews</w:t>
      </w:r>
      <w:r w:rsidR="00A473BD">
        <w:t xml:space="preserve"> (from independent think-tanks, academia, or international partners)</w:t>
      </w:r>
      <w:r w:rsidR="005758FD">
        <w:t xml:space="preserve">, </w:t>
      </w:r>
      <w:r w:rsidR="003210BE">
        <w:t xml:space="preserve">and </w:t>
      </w:r>
      <w:r w:rsidR="00E902A1">
        <w:t>publicity of implementation progress</w:t>
      </w:r>
      <w:r w:rsidR="003210BE">
        <w:t xml:space="preserve"> updates</w:t>
      </w:r>
      <w:r w:rsidR="00E902A1">
        <w:t xml:space="preserve">, </w:t>
      </w:r>
      <w:r w:rsidR="005758FD">
        <w:t>among others.</w:t>
      </w:r>
    </w:p>
    <w:p w14:paraId="7277BAB6" w14:textId="77777777" w:rsidR="00A15697" w:rsidRDefault="00A15697" w:rsidP="00D64CD6">
      <w:pPr>
        <w:pStyle w:val="ListParagraph"/>
      </w:pPr>
    </w:p>
    <w:p w14:paraId="46A8A5F2" w14:textId="3FA3B09C" w:rsidR="00384EDB" w:rsidRPr="00D64CD6" w:rsidRDefault="006C43E8" w:rsidP="00D64CD6">
      <w:pPr>
        <w:pStyle w:val="ListParagraph"/>
        <w:numPr>
          <w:ilvl w:val="0"/>
          <w:numId w:val="47"/>
        </w:numPr>
        <w:jc w:val="both"/>
        <w:rPr>
          <w:i/>
          <w:iCs/>
        </w:rPr>
      </w:pPr>
      <w:r w:rsidRPr="00D64CD6">
        <w:rPr>
          <w:i/>
          <w:iCs/>
        </w:rPr>
        <w:t xml:space="preserve">Reform ambition needs to </w:t>
      </w:r>
      <w:r w:rsidR="00C46564">
        <w:rPr>
          <w:i/>
          <w:iCs/>
        </w:rPr>
        <w:t xml:space="preserve">be </w:t>
      </w:r>
      <w:r w:rsidR="004230A3" w:rsidRPr="00D64CD6">
        <w:rPr>
          <w:i/>
          <w:iCs/>
        </w:rPr>
        <w:t xml:space="preserve">calibrated to the capacity of the agency </w:t>
      </w:r>
      <w:r w:rsidR="008C135A" w:rsidRPr="00D64CD6">
        <w:rPr>
          <w:i/>
          <w:iCs/>
        </w:rPr>
        <w:t>leading the process</w:t>
      </w:r>
      <w:r w:rsidR="00E902A1">
        <w:rPr>
          <w:i/>
          <w:iCs/>
        </w:rPr>
        <w:t xml:space="preserve">. </w:t>
      </w:r>
      <w:r w:rsidR="00EA322B">
        <w:t>A</w:t>
      </w:r>
      <w:r w:rsidR="00344BAE">
        <w:t xml:space="preserve"> comprehensive regulatory </w:t>
      </w:r>
      <w:r w:rsidR="00EA322B">
        <w:t xml:space="preserve">reform program like Resolution 68 is demanding for the regulatory oversight </w:t>
      </w:r>
      <w:r w:rsidR="00FF4BF2">
        <w:t>agency and the</w:t>
      </w:r>
      <w:r w:rsidR="00C46564">
        <w:t xml:space="preserve"> implementing agencies,</w:t>
      </w:r>
      <w:r w:rsidR="00344BAE">
        <w:t xml:space="preserve"> and their capacity has been overstretched. </w:t>
      </w:r>
      <w:r w:rsidR="00A86862">
        <w:t xml:space="preserve">For APCA/OOG this implied difficulty in </w:t>
      </w:r>
      <w:r w:rsidR="00E82FC5">
        <w:t xml:space="preserve">supporting </w:t>
      </w:r>
      <w:r w:rsidR="00407271">
        <w:t xml:space="preserve">other government agencies with implementation, and in </w:t>
      </w:r>
      <w:r w:rsidR="00E82FC5">
        <w:t xml:space="preserve">monitoring and evaluating progress. </w:t>
      </w:r>
      <w:r w:rsidR="001619D1">
        <w:t xml:space="preserve">Defining a realistic scope for the reform program, aligned with available resources, increases chances of successful implementation. A phased approach, with clear criteria for prioritizing initial reforms and sequencing implementation, as opposed of a </w:t>
      </w:r>
      <w:r w:rsidR="000568BD">
        <w:t xml:space="preserve">government-wide program from the outset, can be considered. </w:t>
      </w:r>
    </w:p>
    <w:p w14:paraId="16F75C39" w14:textId="77777777" w:rsidR="004E49FD" w:rsidRPr="000E6315" w:rsidRDefault="004E49FD" w:rsidP="007B67F8"/>
    <w:sectPr w:rsidR="004E49FD" w:rsidRPr="000E631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860E1" w14:textId="77777777" w:rsidR="006A4EB4" w:rsidRDefault="006A4EB4" w:rsidP="00907DC4">
      <w:pPr>
        <w:spacing w:after="0" w:line="240" w:lineRule="auto"/>
      </w:pPr>
      <w:r>
        <w:separator/>
      </w:r>
    </w:p>
  </w:endnote>
  <w:endnote w:type="continuationSeparator" w:id="0">
    <w:p w14:paraId="32327B5E" w14:textId="77777777" w:rsidR="006A4EB4" w:rsidRDefault="006A4EB4" w:rsidP="00907DC4">
      <w:pPr>
        <w:spacing w:after="0" w:line="240" w:lineRule="auto"/>
      </w:pPr>
      <w:r>
        <w:continuationSeparator/>
      </w:r>
    </w:p>
  </w:endnote>
  <w:endnote w:type="continuationNotice" w:id="1">
    <w:p w14:paraId="65CD6E41" w14:textId="77777777" w:rsidR="006A4EB4" w:rsidRDefault="006A4EB4">
      <w:pPr>
        <w:spacing w:after="0" w:line="240" w:lineRule="auto"/>
      </w:pPr>
    </w:p>
  </w:endnote>
  <w:endnote w:id="2">
    <w:p w14:paraId="38A70205" w14:textId="77777777" w:rsidR="004E49FD" w:rsidRPr="001A3C9C" w:rsidRDefault="004E49FD" w:rsidP="004E49F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es">
    <w:altName w:val="Calibri"/>
    <w:panose1 w:val="00000000000000000000"/>
    <w:charset w:val="00"/>
    <w:family w:val="modern"/>
    <w:notTrueType/>
    <w:pitch w:val="variable"/>
    <w:sig w:usb0="A000002F" w:usb1="50000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416719"/>
      <w:docPartObj>
        <w:docPartGallery w:val="Page Numbers (Bottom of Page)"/>
        <w:docPartUnique/>
      </w:docPartObj>
    </w:sdtPr>
    <w:sdtEndPr>
      <w:rPr>
        <w:noProof/>
      </w:rPr>
    </w:sdtEndPr>
    <w:sdtContent>
      <w:p w14:paraId="20053813" w14:textId="757C2E9B" w:rsidR="00907DC4" w:rsidRDefault="00907D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2B8F79" w14:textId="77777777" w:rsidR="00907DC4" w:rsidRDefault="00907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CB804" w14:textId="77777777" w:rsidR="006A4EB4" w:rsidRDefault="006A4EB4" w:rsidP="00907DC4">
      <w:pPr>
        <w:spacing w:after="0" w:line="240" w:lineRule="auto"/>
      </w:pPr>
      <w:r>
        <w:separator/>
      </w:r>
    </w:p>
  </w:footnote>
  <w:footnote w:type="continuationSeparator" w:id="0">
    <w:p w14:paraId="21C6A7FD" w14:textId="77777777" w:rsidR="006A4EB4" w:rsidRDefault="006A4EB4" w:rsidP="00907DC4">
      <w:pPr>
        <w:spacing w:after="0" w:line="240" w:lineRule="auto"/>
      </w:pPr>
      <w:r>
        <w:continuationSeparator/>
      </w:r>
    </w:p>
  </w:footnote>
  <w:footnote w:type="continuationNotice" w:id="1">
    <w:p w14:paraId="4855B807" w14:textId="77777777" w:rsidR="006A4EB4" w:rsidRDefault="006A4EB4">
      <w:pPr>
        <w:spacing w:after="0" w:line="240" w:lineRule="auto"/>
      </w:pPr>
    </w:p>
  </w:footnote>
  <w:footnote w:id="2">
    <w:p w14:paraId="58DFC23E" w14:textId="75C14BEF" w:rsidR="00874D94" w:rsidRDefault="00874D94" w:rsidP="00D64CD6">
      <w:pPr>
        <w:pStyle w:val="FootnoteText"/>
        <w:jc w:val="both"/>
      </w:pPr>
      <w:r>
        <w:rPr>
          <w:rStyle w:val="FootnoteReference"/>
        </w:rPr>
        <w:footnoteRef/>
      </w:r>
      <w:r>
        <w:t xml:space="preserve"> Based on the firm-level prioritization analysis</w:t>
      </w:r>
      <w:r w:rsidR="004C5D63">
        <w:t xml:space="preserve"> and </w:t>
      </w:r>
      <w:r w:rsidR="00D948AA">
        <w:t>desk review</w:t>
      </w:r>
      <w:r>
        <w:t xml:space="preserve">, the report focuses on the quality of the regulatory framework as one driver of productivity growth. </w:t>
      </w:r>
      <w:r w:rsidR="00EA10C3">
        <w:t>O</w:t>
      </w:r>
      <w:r>
        <w:t xml:space="preserve">ther important factors, such as </w:t>
      </w:r>
      <w:r w:rsidR="00EA10C3">
        <w:t xml:space="preserve">competition, </w:t>
      </w:r>
      <w:r>
        <w:t xml:space="preserve">access to finance, skills or technology, </w:t>
      </w:r>
      <w:r w:rsidR="00EA10C3">
        <w:t>contribute to productivity growth</w:t>
      </w:r>
      <w:r w:rsidR="0001596F">
        <w:t>,</w:t>
      </w:r>
      <w:r w:rsidR="00EA10C3">
        <w:t xml:space="preserve"> </w:t>
      </w:r>
      <w:r>
        <w:t>however</w:t>
      </w:r>
      <w:r w:rsidR="0001596F">
        <w:t>,</w:t>
      </w:r>
      <w:r>
        <w:t xml:space="preserve"> will not be covered by the report</w:t>
      </w:r>
      <w:r w:rsidR="00B5775E">
        <w:t>.</w:t>
      </w:r>
    </w:p>
  </w:footnote>
  <w:footnote w:id="3">
    <w:p w14:paraId="55F48F82" w14:textId="77777777" w:rsidR="000E5381" w:rsidRDefault="000E5381" w:rsidP="000E5381">
      <w:pPr>
        <w:pStyle w:val="FootnoteText"/>
      </w:pPr>
      <w:r>
        <w:rPr>
          <w:rStyle w:val="FootnoteReference"/>
        </w:rPr>
        <w:footnoteRef/>
      </w:r>
      <w:r>
        <w:t xml:space="preserve"> Viet Nam’s score improved from – 0.77 in 2002 to – 0.43 in 2022, leading to an improvement of almost 14 percent points in Viet Nam’s percentile rank which reached 36.3 in 2022, compared to 22.7 in 2002.</w:t>
      </w:r>
    </w:p>
  </w:footnote>
  <w:footnote w:id="4">
    <w:p w14:paraId="02A02F4B" w14:textId="3272C133" w:rsidR="00864B9A" w:rsidRDefault="00864B9A">
      <w:pPr>
        <w:pStyle w:val="FootnoteText"/>
      </w:pPr>
      <w:r>
        <w:rPr>
          <w:rStyle w:val="FootnoteReference"/>
        </w:rPr>
        <w:footnoteRef/>
      </w:r>
      <w:r>
        <w:t xml:space="preserve"> PCI Report 2023.</w:t>
      </w:r>
    </w:p>
  </w:footnote>
  <w:footnote w:id="5">
    <w:p w14:paraId="5A9F2AC5" w14:textId="41FFEA72" w:rsidR="00864B9A" w:rsidRDefault="00864B9A">
      <w:pPr>
        <w:pStyle w:val="FootnoteText"/>
      </w:pPr>
      <w:r>
        <w:rPr>
          <w:rStyle w:val="FootnoteReference"/>
        </w:rPr>
        <w:footnoteRef/>
      </w:r>
      <w:r>
        <w:t xml:space="preserve"> World Bank 2024.</w:t>
      </w:r>
    </w:p>
  </w:footnote>
  <w:footnote w:id="6">
    <w:p w14:paraId="0B5A2631" w14:textId="77777777" w:rsidR="00C3621A" w:rsidRDefault="00C3621A" w:rsidP="00C3621A">
      <w:pPr>
        <w:pStyle w:val="FootnoteText"/>
      </w:pPr>
      <w:r>
        <w:rPr>
          <w:rStyle w:val="FootnoteReference"/>
        </w:rPr>
        <w:footnoteRef/>
      </w:r>
      <w:r>
        <w:t xml:space="preserve"> In 2022, the score for Viet Nam is -0.43 on a scale of -2.5-+2.5, compared to 0.2, 0.66, 0.16, and 2.21 for Indonesia, Malaysia, Thailand, and Singapore respectively.</w:t>
      </w:r>
    </w:p>
  </w:footnote>
  <w:footnote w:id="7">
    <w:p w14:paraId="4CD1A0F3" w14:textId="55219B4C" w:rsidR="003B38C5" w:rsidRDefault="003B38C5" w:rsidP="003B38C5">
      <w:pPr>
        <w:pStyle w:val="FootnoteText"/>
      </w:pPr>
      <w:r w:rsidRPr="0063052A">
        <w:rPr>
          <w:rStyle w:val="FootnoteReference"/>
        </w:rPr>
        <w:footnoteRef/>
      </w:r>
      <w:r w:rsidRPr="0063052A">
        <w:t xml:space="preserve"> </w:t>
      </w:r>
      <w:r w:rsidRPr="0064533A">
        <w:t>OECD</w:t>
      </w:r>
      <w:r>
        <w:t>,</w:t>
      </w:r>
      <w:r w:rsidRPr="0063052A">
        <w:t xml:space="preserve"> 2022</w:t>
      </w:r>
      <w:r w:rsidR="00AA6635">
        <w:t>.</w:t>
      </w:r>
    </w:p>
  </w:footnote>
  <w:footnote w:id="8">
    <w:p w14:paraId="783DFFA0" w14:textId="36FD5289" w:rsidR="00224881" w:rsidRDefault="00224881">
      <w:pPr>
        <w:pStyle w:val="FootnoteText"/>
      </w:pPr>
      <w:r>
        <w:rPr>
          <w:rStyle w:val="FootnoteReference"/>
        </w:rPr>
        <w:footnoteRef/>
      </w:r>
      <w:r>
        <w:t xml:space="preserve"> </w:t>
      </w:r>
      <w:r w:rsidRPr="00224881">
        <w:t xml:space="preserve">The </w:t>
      </w:r>
      <w:r w:rsidR="00D44946">
        <w:t>D</w:t>
      </w:r>
      <w:r w:rsidRPr="00224881">
        <w:t xml:space="preserve">ecree </w:t>
      </w:r>
      <w:r w:rsidR="003811CE">
        <w:t xml:space="preserve">63 </w:t>
      </w:r>
      <w:r w:rsidRPr="00224881">
        <w:t xml:space="preserve">stipulates that “APs that are posted on the National Database of APs are valid for enforcement and have their enforcement guaranteed”. </w:t>
      </w:r>
      <w:r w:rsidR="00541C15">
        <w:t>However</w:t>
      </w:r>
      <w:r w:rsidRPr="00224881">
        <w:t>, this does not mean that if information on APs is not up to date in the National Database, it is considered unenforceable.</w:t>
      </w:r>
    </w:p>
  </w:footnote>
  <w:footnote w:id="9">
    <w:p w14:paraId="14D605DA" w14:textId="7C191A60" w:rsidR="00462B7A" w:rsidRDefault="00462B7A" w:rsidP="00462B7A">
      <w:pPr>
        <w:pStyle w:val="FootnoteText"/>
      </w:pPr>
      <w:r>
        <w:rPr>
          <w:rStyle w:val="FootnoteReference"/>
        </w:rPr>
        <w:footnoteRef/>
      </w:r>
      <w:r>
        <w:t xml:space="preserve"> World Development Indicators (</w:t>
      </w:r>
      <w:r w:rsidR="00E3323A" w:rsidRPr="00E3323A">
        <w:t>https://databank.worldbank.org/source/world-development-indicators</w:t>
      </w:r>
      <w:r>
        <w:t>).</w:t>
      </w:r>
    </w:p>
  </w:footnote>
  <w:footnote w:id="10">
    <w:p w14:paraId="33CAE043" w14:textId="6FCDC7D8" w:rsidR="00923804" w:rsidRDefault="00923804">
      <w:pPr>
        <w:pStyle w:val="FootnoteText"/>
      </w:pPr>
      <w:r>
        <w:rPr>
          <w:rStyle w:val="FootnoteReference"/>
        </w:rPr>
        <w:footnoteRef/>
      </w:r>
      <w:r>
        <w:t xml:space="preserve"> </w:t>
      </w:r>
      <w:r w:rsidR="00A60B6A" w:rsidRPr="007B67F8">
        <w:t>World Bank</w:t>
      </w:r>
      <w:r w:rsidR="00883764">
        <w:t>, forthcoming</w:t>
      </w:r>
      <w:r w:rsidR="00F21AEA" w:rsidRPr="007B67F8">
        <w:t>.</w:t>
      </w:r>
    </w:p>
  </w:footnote>
  <w:footnote w:id="11">
    <w:p w14:paraId="24A4F66F" w14:textId="395059FA" w:rsidR="002E4B31" w:rsidRDefault="002E4B31" w:rsidP="002E4B31">
      <w:pPr>
        <w:pStyle w:val="FootnoteText"/>
      </w:pPr>
      <w:r>
        <w:rPr>
          <w:rStyle w:val="FootnoteReference"/>
        </w:rPr>
        <w:footnoteRef/>
      </w:r>
      <w:r>
        <w:t xml:space="preserve"> GS</w:t>
      </w:r>
      <w:r w:rsidR="004F537E">
        <w:t>O</w:t>
      </w:r>
      <w:r>
        <w:t xml:space="preserve"> Statistical Yearbook 2022 shows that the domestic private sector accounts for 50.5</w:t>
      </w:r>
      <w:r w:rsidR="00FD67A1">
        <w:t xml:space="preserve"> percent </w:t>
      </w:r>
      <w:r>
        <w:t>and the foreign-invested sector accounts for 20.5</w:t>
      </w:r>
      <w:r w:rsidR="00FD67A1">
        <w:t xml:space="preserve"> percent </w:t>
      </w:r>
      <w:r>
        <w:t>of GDP.</w:t>
      </w:r>
    </w:p>
  </w:footnote>
  <w:footnote w:id="12">
    <w:p w14:paraId="69EDDDBD" w14:textId="3E17298A" w:rsidR="00F21AEA" w:rsidRDefault="00F21AEA" w:rsidP="00F21AEA">
      <w:pPr>
        <w:pStyle w:val="FootnoteText"/>
      </w:pPr>
      <w:r>
        <w:rPr>
          <w:rStyle w:val="FootnoteReference"/>
        </w:rPr>
        <w:footnoteRef/>
      </w:r>
      <w:r>
        <w:t xml:space="preserve"> World Bank 2023</w:t>
      </w:r>
      <w:r w:rsidR="00526246">
        <w:t>.</w:t>
      </w:r>
    </w:p>
  </w:footnote>
  <w:footnote w:id="13">
    <w:p w14:paraId="508009B3" w14:textId="20AA3796" w:rsidR="001554A0" w:rsidRDefault="001554A0" w:rsidP="001554A0">
      <w:pPr>
        <w:pStyle w:val="FootnoteText"/>
      </w:pPr>
      <w:r>
        <w:rPr>
          <w:rStyle w:val="FootnoteReference"/>
        </w:rPr>
        <w:footnoteRef/>
      </w:r>
      <w:r>
        <w:t xml:space="preserve"> </w:t>
      </w:r>
      <w:r w:rsidRPr="00B73709">
        <w:t>Loayza, N., and L. Serv</w:t>
      </w:r>
      <w:r w:rsidR="00E8508E">
        <w:t>e</w:t>
      </w:r>
      <w:r w:rsidRPr="00B73709">
        <w:t>n 2010</w:t>
      </w:r>
      <w:r w:rsidR="00526246">
        <w:t>.</w:t>
      </w:r>
    </w:p>
  </w:footnote>
  <w:footnote w:id="14">
    <w:p w14:paraId="5B00EC65" w14:textId="76BC0F0E" w:rsidR="001554A0" w:rsidRDefault="001554A0" w:rsidP="001554A0">
      <w:pPr>
        <w:pStyle w:val="FootnoteText"/>
      </w:pPr>
      <w:r>
        <w:rPr>
          <w:rStyle w:val="FootnoteReference"/>
        </w:rPr>
        <w:footnoteRef/>
      </w:r>
      <w:r>
        <w:t xml:space="preserve"> Saurav, A. and V. Steenbergen 2023.</w:t>
      </w:r>
    </w:p>
  </w:footnote>
  <w:footnote w:id="15">
    <w:p w14:paraId="7D1044F3" w14:textId="6F1C726B" w:rsidR="00710810" w:rsidRDefault="00710810">
      <w:pPr>
        <w:pStyle w:val="FootnoteText"/>
      </w:pPr>
      <w:r>
        <w:rPr>
          <w:rStyle w:val="FootnoteReference"/>
        </w:rPr>
        <w:footnoteRef/>
      </w:r>
      <w:r>
        <w:t xml:space="preserve"> World Bank staff calculation using World Bank Enterprise Survey data. </w:t>
      </w:r>
    </w:p>
  </w:footnote>
  <w:footnote w:id="16">
    <w:p w14:paraId="33BC0245" w14:textId="492F4A4A" w:rsidR="00742644" w:rsidRDefault="00742644">
      <w:pPr>
        <w:pStyle w:val="FootnoteText"/>
      </w:pPr>
      <w:r>
        <w:rPr>
          <w:rStyle w:val="FootnoteReference"/>
        </w:rPr>
        <w:footnoteRef/>
      </w:r>
      <w:r>
        <w:t xml:space="preserve"> World Bank 2023.</w:t>
      </w:r>
    </w:p>
  </w:footnote>
  <w:footnote w:id="17">
    <w:p w14:paraId="52A7FE1C" w14:textId="51A8C882" w:rsidR="005953ED" w:rsidRDefault="005953ED">
      <w:pPr>
        <w:pStyle w:val="FootnoteText"/>
      </w:pPr>
      <w:r>
        <w:rPr>
          <w:rStyle w:val="FootnoteReference"/>
        </w:rPr>
        <w:footnoteRef/>
      </w:r>
      <w:r>
        <w:t xml:space="preserve"> In 2022, the score for Viet Nam is -0.43 on a scale of -2.5-+2.5, compared to 0.2, 0.66, 0.16, and 2.21 for Indonesia, Malaysia, Thailand, and Singapore respectively.</w:t>
      </w:r>
    </w:p>
  </w:footnote>
  <w:footnote w:id="18">
    <w:p w14:paraId="4D79CCC3" w14:textId="4CA95F5E" w:rsidR="001554A0" w:rsidRDefault="001554A0" w:rsidP="001554A0">
      <w:pPr>
        <w:pStyle w:val="FootnoteText"/>
      </w:pPr>
      <w:r w:rsidRPr="00866F63">
        <w:rPr>
          <w:rStyle w:val="FootnoteReference"/>
        </w:rPr>
        <w:footnoteRef/>
      </w:r>
      <w:r w:rsidR="00B6725B">
        <w:t xml:space="preserve"> World Bank forthcoming</w:t>
      </w:r>
      <w:r w:rsidR="00116AA0">
        <w:t xml:space="preserve">; </w:t>
      </w:r>
      <w:r w:rsidR="00FC3A57" w:rsidRPr="00866F63">
        <w:t>World Bank 2023</w:t>
      </w:r>
      <w:r w:rsidR="00116AA0">
        <w:t xml:space="preserve">; </w:t>
      </w:r>
      <w:r w:rsidR="00B151C7" w:rsidRPr="00866F63">
        <w:t>World Bank 2022</w:t>
      </w:r>
      <w:r w:rsidR="00116AA0">
        <w:t xml:space="preserve">; </w:t>
      </w:r>
      <w:r w:rsidR="000138C3" w:rsidRPr="00866F63">
        <w:t>IFC 2021</w:t>
      </w:r>
      <w:r w:rsidR="00116AA0">
        <w:t xml:space="preserve">; </w:t>
      </w:r>
      <w:r w:rsidR="003A7F0B" w:rsidRPr="00866F63">
        <w:t>Cirera et al. 202</w:t>
      </w:r>
      <w:r w:rsidR="00BA48D0" w:rsidRPr="00866F63">
        <w:t>1</w:t>
      </w:r>
      <w:r w:rsidR="00116AA0">
        <w:t xml:space="preserve">; </w:t>
      </w:r>
      <w:r w:rsidR="001E4ED3" w:rsidRPr="00866F63">
        <w:t>World Bank 2021</w:t>
      </w:r>
      <w:r w:rsidR="00866F63">
        <w:t>.</w:t>
      </w:r>
    </w:p>
  </w:footnote>
  <w:footnote w:id="19">
    <w:p w14:paraId="0BF0641E" w14:textId="25BB9C37" w:rsidR="002F3027" w:rsidRDefault="002F3027">
      <w:pPr>
        <w:pStyle w:val="FootnoteText"/>
      </w:pPr>
      <w:r>
        <w:rPr>
          <w:rStyle w:val="FootnoteReference"/>
        </w:rPr>
        <w:footnoteRef/>
      </w:r>
      <w:r>
        <w:t xml:space="preserve"> More details are provided in Annex B.</w:t>
      </w:r>
    </w:p>
  </w:footnote>
  <w:footnote w:id="20">
    <w:p w14:paraId="768831FF" w14:textId="174771FF" w:rsidR="007311E2" w:rsidRDefault="007311E2">
      <w:pPr>
        <w:pStyle w:val="FootnoteText"/>
      </w:pPr>
      <w:r>
        <w:rPr>
          <w:rStyle w:val="FootnoteReference"/>
        </w:rPr>
        <w:footnoteRef/>
      </w:r>
      <w:r>
        <w:t xml:space="preserve"> ASEAN </w:t>
      </w:r>
      <w:r w:rsidR="0065601A">
        <w:t>2022</w:t>
      </w:r>
      <w:r>
        <w:t>.</w:t>
      </w:r>
    </w:p>
  </w:footnote>
  <w:footnote w:id="21">
    <w:p w14:paraId="54B12829" w14:textId="35F1C63A" w:rsidR="001554A0" w:rsidRDefault="001554A0" w:rsidP="001554A0">
      <w:pPr>
        <w:pStyle w:val="FootnoteText"/>
      </w:pPr>
      <w:r>
        <w:rPr>
          <w:rStyle w:val="FootnoteReference"/>
        </w:rPr>
        <w:footnoteRef/>
      </w:r>
      <w:r>
        <w:t xml:space="preserve"> Vranic, G. and A. Molfetas 2022.</w:t>
      </w:r>
    </w:p>
  </w:footnote>
  <w:footnote w:id="22">
    <w:p w14:paraId="207DC714" w14:textId="080660FB" w:rsidR="00F83F5D" w:rsidRDefault="00F83F5D">
      <w:pPr>
        <w:pStyle w:val="FootnoteText"/>
      </w:pPr>
      <w:r>
        <w:rPr>
          <w:rStyle w:val="FootnoteReference"/>
        </w:rPr>
        <w:footnoteRef/>
      </w:r>
      <w:r>
        <w:t xml:space="preserve"> </w:t>
      </w:r>
      <w:r w:rsidRPr="00D070BF">
        <w:rPr>
          <w:sz w:val="18"/>
          <w:szCs w:val="18"/>
        </w:rPr>
        <w:t>Sectoral composition matters for productivity: higher-income countries tend to have more knowledge-intensive services and manufacturing. For instance, if low-income countries were to match the sectoral composition of high-income countries, their productivity would increase by a third (Nayyar et al. 2021).</w:t>
      </w:r>
    </w:p>
  </w:footnote>
  <w:footnote w:id="23">
    <w:p w14:paraId="2C598688" w14:textId="77777777" w:rsidR="00DE2BDF" w:rsidRDefault="00DE2BDF" w:rsidP="00DE2BDF">
      <w:pPr>
        <w:pStyle w:val="FootnoteText"/>
      </w:pPr>
      <w:r>
        <w:rPr>
          <w:rStyle w:val="FootnoteReference"/>
        </w:rPr>
        <w:footnoteRef/>
      </w:r>
      <w:r>
        <w:t xml:space="preserve"> Additional evidence of misallocation is presented in </w:t>
      </w:r>
      <w:r w:rsidRPr="005F7BD7">
        <w:t>Annex A.</w:t>
      </w:r>
      <w:r>
        <w:t xml:space="preserve"> </w:t>
      </w:r>
    </w:p>
  </w:footnote>
  <w:footnote w:id="24">
    <w:p w14:paraId="08007124" w14:textId="22E56157" w:rsidR="00C60F3F" w:rsidRDefault="00C60F3F" w:rsidP="00C60F3F">
      <w:pPr>
        <w:pStyle w:val="FootnoteText"/>
      </w:pPr>
      <w:r>
        <w:rPr>
          <w:rStyle w:val="FootnoteReference"/>
        </w:rPr>
        <w:footnoteRef/>
      </w:r>
      <w:r>
        <w:t xml:space="preserve"> Regulatory delivery is defined as the way that regulatory agencies operate in practice to</w:t>
      </w:r>
      <w:r w:rsidR="0051382B">
        <w:t xml:space="preserve"> </w:t>
      </w:r>
      <w:r>
        <w:t>achieve the intended outcomes of regulations (Graham Russell, Christopher Hodges. 2019. “Regulatory Delivery (Civil Justice Systems). Hart/Beck, London).</w:t>
      </w:r>
    </w:p>
  </w:footnote>
  <w:footnote w:id="25">
    <w:p w14:paraId="7045B28B" w14:textId="61722962" w:rsidR="006B2B9E" w:rsidRPr="00D64CD6" w:rsidRDefault="006B2B9E">
      <w:pPr>
        <w:pStyle w:val="FootnoteText"/>
      </w:pPr>
      <w:r>
        <w:rPr>
          <w:rStyle w:val="FootnoteReference"/>
        </w:rPr>
        <w:footnoteRef/>
      </w:r>
      <w:r w:rsidRPr="00D64CD6">
        <w:t xml:space="preserve"> Klapper et al., 2009; Klapper and Love, 2011; Bruhn, 2012.</w:t>
      </w:r>
    </w:p>
  </w:footnote>
  <w:footnote w:id="26">
    <w:p w14:paraId="58CBFDF6" w14:textId="3859CB93" w:rsidR="006B2B9E" w:rsidRDefault="006B2B9E">
      <w:pPr>
        <w:pStyle w:val="FootnoteText"/>
      </w:pPr>
      <w:r>
        <w:rPr>
          <w:rStyle w:val="FootnoteReference"/>
        </w:rPr>
        <w:footnoteRef/>
      </w:r>
      <w:r>
        <w:t xml:space="preserve"> </w:t>
      </w:r>
      <w:r w:rsidRPr="006E36EE">
        <w:t>Bailey and Thomas, 2017</w:t>
      </w:r>
      <w:r>
        <w:t>.</w:t>
      </w:r>
    </w:p>
  </w:footnote>
  <w:footnote w:id="27">
    <w:p w14:paraId="11926FCF" w14:textId="4F92E7B9" w:rsidR="006B2B9E" w:rsidRPr="00C27879" w:rsidRDefault="006B2B9E">
      <w:pPr>
        <w:pStyle w:val="FootnoteText"/>
      </w:pPr>
      <w:r>
        <w:rPr>
          <w:rStyle w:val="FootnoteReference"/>
        </w:rPr>
        <w:footnoteRef/>
      </w:r>
      <w:r w:rsidRPr="00C27879">
        <w:t xml:space="preserve"> Morikawa, 2023.</w:t>
      </w:r>
    </w:p>
  </w:footnote>
  <w:footnote w:id="28">
    <w:p w14:paraId="4B67BE36" w14:textId="7F2D12E2" w:rsidR="006B2B9E" w:rsidRPr="00C27879" w:rsidRDefault="006B2B9E">
      <w:pPr>
        <w:pStyle w:val="FootnoteText"/>
      </w:pPr>
      <w:r>
        <w:rPr>
          <w:rStyle w:val="FootnoteReference"/>
        </w:rPr>
        <w:footnoteRef/>
      </w:r>
      <w:r w:rsidRPr="00C27879">
        <w:t xml:space="preserve"> Muzi et al., 2021; Cirera et al., 2021.</w:t>
      </w:r>
    </w:p>
  </w:footnote>
  <w:footnote w:id="29">
    <w:p w14:paraId="40382D60" w14:textId="65556B28" w:rsidR="001644BC" w:rsidRDefault="001644BC">
      <w:pPr>
        <w:pStyle w:val="FootnoteText"/>
      </w:pPr>
      <w:r>
        <w:rPr>
          <w:rStyle w:val="FootnoteReference"/>
        </w:rPr>
        <w:footnoteRef/>
      </w:r>
      <w:r>
        <w:t xml:space="preserve"> Haidar, 2012</w:t>
      </w:r>
    </w:p>
  </w:footnote>
  <w:footnote w:id="30">
    <w:p w14:paraId="2E9620D5" w14:textId="7F1BD9FD" w:rsidR="00EA4A37" w:rsidRDefault="00EA4A37">
      <w:pPr>
        <w:pStyle w:val="FootnoteText"/>
      </w:pPr>
      <w:r>
        <w:rPr>
          <w:rStyle w:val="FootnoteReference"/>
        </w:rPr>
        <w:footnoteRef/>
      </w:r>
      <w:r w:rsidRPr="00D64CD6">
        <w:t xml:space="preserve"> </w:t>
      </w:r>
      <w:r w:rsidR="0056095D" w:rsidRPr="00D64CD6">
        <w:t xml:space="preserve">OECD. 2021. </w:t>
      </w:r>
      <w:r w:rsidR="0056095D">
        <w:t xml:space="preserve">Recommendations of the Council for Agile Regulatory Governance </w:t>
      </w:r>
      <w:r w:rsidR="001E239E">
        <w:t>to Harness Innovation</w:t>
      </w:r>
      <w:r w:rsidR="00F225D5">
        <w:t>; Aghion et al</w:t>
      </w:r>
      <w:r w:rsidR="00DB2B80">
        <w:t>. 2023.</w:t>
      </w:r>
    </w:p>
  </w:footnote>
  <w:footnote w:id="31">
    <w:p w14:paraId="05D5308F" w14:textId="19B1379B" w:rsidR="00854B03" w:rsidRDefault="00854B03" w:rsidP="00854B03">
      <w:pPr>
        <w:pStyle w:val="FootnoteText"/>
      </w:pPr>
      <w:r>
        <w:rPr>
          <w:rStyle w:val="FootnoteReference"/>
        </w:rPr>
        <w:footnoteRef/>
      </w:r>
      <w:r>
        <w:t xml:space="preserve"> This is measured by the variation in the time firms spend on </w:t>
      </w:r>
      <w:r w:rsidR="00405547">
        <w:t>paperwork,</w:t>
      </w:r>
      <w:r>
        <w:t xml:space="preserve"> the higher the variation the higher the discretion. </w:t>
      </w:r>
    </w:p>
  </w:footnote>
  <w:footnote w:id="32">
    <w:p w14:paraId="2CE35CF6" w14:textId="4478AA6C" w:rsidR="00605849" w:rsidRDefault="00605849">
      <w:pPr>
        <w:pStyle w:val="FootnoteText"/>
      </w:pPr>
      <w:r>
        <w:rPr>
          <w:rStyle w:val="FootnoteReference"/>
        </w:rPr>
        <w:footnoteRef/>
      </w:r>
      <w:r>
        <w:t xml:space="preserve"> </w:t>
      </w:r>
      <w:r w:rsidRPr="00CD3AB8">
        <w:t>Schiffbauer</w:t>
      </w:r>
      <w:r w:rsidRPr="00B35929">
        <w:t xml:space="preserve"> et al.</w:t>
      </w:r>
      <w:r w:rsidRPr="00CD3AB8">
        <w:t>,</w:t>
      </w:r>
      <w:r w:rsidRPr="00B35929">
        <w:t xml:space="preserve"> 20</w:t>
      </w:r>
      <w:r w:rsidR="00C43977">
        <w:t>22</w:t>
      </w:r>
      <w:r>
        <w:t>.</w:t>
      </w:r>
    </w:p>
  </w:footnote>
  <w:footnote w:id="33">
    <w:p w14:paraId="47302A73" w14:textId="143F3B41" w:rsidR="00611246" w:rsidRDefault="00611246">
      <w:pPr>
        <w:pStyle w:val="FootnoteText"/>
      </w:pPr>
      <w:r>
        <w:rPr>
          <w:rStyle w:val="FootnoteReference"/>
        </w:rPr>
        <w:footnoteRef/>
      </w:r>
      <w:r>
        <w:t xml:space="preserve"> The RegData database developed by</w:t>
      </w:r>
      <w:r w:rsidR="00CA10D1">
        <w:t xml:space="preserve"> the</w:t>
      </w:r>
      <w:r>
        <w:t xml:space="preserve"> Mercatus Center, George Mason University with text analy</w:t>
      </w:r>
      <w:r w:rsidR="00CA10D1">
        <w:t xml:space="preserve">tic technique can be a good model. See more at </w:t>
      </w:r>
      <w:hyperlink r:id="rId1" w:history="1">
        <w:r w:rsidR="00CA10D1" w:rsidRPr="005A4183">
          <w:rPr>
            <w:rStyle w:val="Hyperlink"/>
          </w:rPr>
          <w:t>https://www.mercatus.org/research/working-papers/regdata</w:t>
        </w:r>
      </w:hyperlink>
      <w:r w:rsidR="00CA10D1">
        <w:t xml:space="preserve">. </w:t>
      </w:r>
    </w:p>
  </w:footnote>
  <w:footnote w:id="34">
    <w:p w14:paraId="38C837C6" w14:textId="3CD1C8CB" w:rsidR="00852B06" w:rsidRDefault="00852B06" w:rsidP="00016207">
      <w:pPr>
        <w:pStyle w:val="FootnoteText"/>
        <w:jc w:val="both"/>
      </w:pPr>
      <w:r>
        <w:rPr>
          <w:rStyle w:val="FootnoteReference"/>
        </w:rPr>
        <w:footnoteRef/>
      </w:r>
      <w:r>
        <w:t xml:space="preserve"> The term “business regulations” in </w:t>
      </w:r>
      <w:r w:rsidR="00AC3ED2">
        <w:t xml:space="preserve">Viet Nam </w:t>
      </w:r>
      <w:r>
        <w:t xml:space="preserve">is used to cover a broad range of requirements for firms that includes administrative procedures, </w:t>
      </w:r>
      <w:r w:rsidR="0080330A">
        <w:t xml:space="preserve">technical regulations and </w:t>
      </w:r>
      <w:r>
        <w:t xml:space="preserve">standards, </w:t>
      </w:r>
      <w:r w:rsidR="0080330A">
        <w:t xml:space="preserve">investment </w:t>
      </w:r>
      <w:r>
        <w:t xml:space="preserve">conditions, reporting requirements, and </w:t>
      </w:r>
      <w:r w:rsidR="002F1B73">
        <w:t xml:space="preserve">technical </w:t>
      </w:r>
      <w:r>
        <w:t>requirements for import</w:t>
      </w:r>
      <w:r w:rsidR="004565DF">
        <w:t xml:space="preserve">s </w:t>
      </w:r>
      <w:r>
        <w:t>/export</w:t>
      </w:r>
      <w:r w:rsidR="004565DF">
        <w:t>s</w:t>
      </w:r>
      <w:r>
        <w:t xml:space="preserve">. It is different from the legal </w:t>
      </w:r>
      <w:r w:rsidR="004D36E1">
        <w:t xml:space="preserve">documents </w:t>
      </w:r>
      <w:r>
        <w:t xml:space="preserve">that introduce, amend, or eliminate such regulations. </w:t>
      </w:r>
    </w:p>
  </w:footnote>
  <w:footnote w:id="35">
    <w:p w14:paraId="623885FA" w14:textId="4A90A4AC" w:rsidR="007B121C" w:rsidRDefault="007B121C">
      <w:pPr>
        <w:pStyle w:val="FootnoteText"/>
      </w:pPr>
      <w:r>
        <w:rPr>
          <w:rStyle w:val="FootnoteReference"/>
        </w:rPr>
        <w:footnoteRef/>
      </w:r>
      <w:r>
        <w:t xml:space="preserve"> Prime Minister Decision </w:t>
      </w:r>
      <w:r w:rsidR="000040A3">
        <w:t xml:space="preserve">1682/QD-TTg dated </w:t>
      </w:r>
      <w:r w:rsidR="00B17547">
        <w:t>December 26, 2023</w:t>
      </w:r>
      <w:r w:rsidR="005935C2">
        <w:t>,</w:t>
      </w:r>
      <w:r w:rsidR="00B17547">
        <w:t xml:space="preserve"> on reorganization of the Prime Minister’s Council on Administrative Procedure Reform.</w:t>
      </w:r>
    </w:p>
  </w:footnote>
  <w:footnote w:id="36">
    <w:p w14:paraId="7410870F" w14:textId="7496F239" w:rsidR="00852B06" w:rsidRDefault="00852B06" w:rsidP="000F7417">
      <w:pPr>
        <w:pStyle w:val="FootnoteText"/>
      </w:pPr>
      <w:r>
        <w:rPr>
          <w:rStyle w:val="FootnoteReference"/>
        </w:rPr>
        <w:footnoteRef/>
      </w:r>
      <w:r w:rsidRPr="00BE1EE5">
        <w:t xml:space="preserve"> OECD (2022), Supporting Regulatory Reforms in Southeast Asia, OECD Publishing, Paris, </w:t>
      </w:r>
      <w:hyperlink r:id="rId2" w:history="1">
        <w:r w:rsidRPr="006B0A41">
          <w:rPr>
            <w:rStyle w:val="Hyperlink"/>
          </w:rPr>
          <w:t>https://doi.org/10.1787/aad87f86-en</w:t>
        </w:r>
      </w:hyperlink>
      <w:r w:rsidRPr="00BE1EE5">
        <w:t>.</w:t>
      </w:r>
      <w:r>
        <w:t xml:space="preserve"> </w:t>
      </w:r>
    </w:p>
  </w:footnote>
  <w:footnote w:id="37">
    <w:p w14:paraId="391A4C60" w14:textId="77777777" w:rsidR="00852B06" w:rsidRDefault="00852B06" w:rsidP="00852B06">
      <w:pPr>
        <w:pStyle w:val="FootnoteText"/>
      </w:pPr>
      <w:r>
        <w:rPr>
          <w:rStyle w:val="FootnoteReference"/>
        </w:rPr>
        <w:footnoteRef/>
      </w:r>
      <w:r>
        <w:t xml:space="preserve"> Ibid.</w:t>
      </w:r>
    </w:p>
  </w:footnote>
  <w:footnote w:id="38">
    <w:p w14:paraId="40F0D784" w14:textId="20180ED4" w:rsidR="00852B06" w:rsidRDefault="00852B06" w:rsidP="00852B06">
      <w:pPr>
        <w:pStyle w:val="FootnoteText"/>
      </w:pPr>
      <w:r>
        <w:rPr>
          <w:rStyle w:val="FootnoteReference"/>
        </w:rPr>
        <w:footnoteRef/>
      </w:r>
      <w:r>
        <w:t xml:space="preserve"> </w:t>
      </w:r>
      <w:r w:rsidR="00F948B0">
        <w:t xml:space="preserve">RIA has recently renamed as Policy Impact Assessment (PIA) with new requirements. </w:t>
      </w:r>
      <w:r w:rsidRPr="00A01806">
        <w:t xml:space="preserve">The Ministry of Justice has the responsibility of coordinating drafting of legal texts and </w:t>
      </w:r>
      <w:r w:rsidR="00F16175">
        <w:t>Regulatory Impact Assessment reports</w:t>
      </w:r>
      <w:r w:rsidR="00522243">
        <w:t xml:space="preserve"> (Law on Laws)</w:t>
      </w:r>
      <w:r w:rsidRPr="00A01806">
        <w:t xml:space="preserve"> and APCA oversees impact assessments related to administrative procedures (Decree 63/2010/ND-CP). The RIAs are prepared by the entity proposing the regulation and published online. Detailed guidance and capacity building have been provided to government entities on preparing RIAs, with support from international partners. A specific methodology for calculating costs associated with administrative procedures is provided by Circular 02/2017/TT-VPCP.</w:t>
      </w:r>
    </w:p>
  </w:footnote>
  <w:footnote w:id="39">
    <w:p w14:paraId="7288B838" w14:textId="77777777" w:rsidR="00852B06" w:rsidRDefault="00852B06" w:rsidP="00852B06">
      <w:pPr>
        <w:pStyle w:val="FootnoteText"/>
      </w:pPr>
      <w:r>
        <w:rPr>
          <w:rStyle w:val="FootnoteReference"/>
        </w:rPr>
        <w:footnoteRef/>
      </w:r>
      <w:r>
        <w:t xml:space="preserve"> Stakeholder engagement is discussed further below. </w:t>
      </w:r>
    </w:p>
  </w:footnote>
  <w:footnote w:id="40">
    <w:p w14:paraId="076BC19E" w14:textId="54F965D6" w:rsidR="00B42118" w:rsidRDefault="00B42118">
      <w:pPr>
        <w:pStyle w:val="FootnoteText"/>
      </w:pPr>
      <w:r>
        <w:rPr>
          <w:rStyle w:val="FootnoteReference"/>
        </w:rPr>
        <w:footnoteRef/>
      </w:r>
      <w:r>
        <w:t xml:space="preserve"> </w:t>
      </w:r>
      <w:r w:rsidRPr="00B42118">
        <w:t>Law No. 80/2015/QH13, amended in 2020</w:t>
      </w:r>
      <w:r>
        <w:t>.</w:t>
      </w:r>
    </w:p>
  </w:footnote>
  <w:footnote w:id="41">
    <w:p w14:paraId="642B2F42" w14:textId="51966510" w:rsidR="007E37C6" w:rsidRPr="00821A46" w:rsidRDefault="007E37C6">
      <w:pPr>
        <w:pStyle w:val="FootnoteText"/>
      </w:pPr>
      <w:r>
        <w:rPr>
          <w:rStyle w:val="FootnoteReference"/>
        </w:rPr>
        <w:footnoteRef/>
      </w:r>
      <w:r w:rsidRPr="00821A46">
        <w:t xml:space="preserve"> Decree No. 63/202</w:t>
      </w:r>
      <w:r w:rsidR="005935C2" w:rsidRPr="00821A46">
        <w:t>3/N</w:t>
      </w:r>
      <w:r w:rsidR="005935C2" w:rsidRPr="0064533A">
        <w:t>D-CP</w:t>
      </w:r>
    </w:p>
  </w:footnote>
  <w:footnote w:id="42">
    <w:p w14:paraId="51C2D3FC" w14:textId="1BAD6405" w:rsidR="00C818DB" w:rsidRPr="00821A46" w:rsidRDefault="00C818DB">
      <w:pPr>
        <w:pStyle w:val="FootnoteText"/>
      </w:pPr>
      <w:r>
        <w:rPr>
          <w:rStyle w:val="FootnoteReference"/>
        </w:rPr>
        <w:footnoteRef/>
      </w:r>
      <w:r w:rsidRPr="00821A46">
        <w:t xml:space="preserve"> </w:t>
      </w:r>
      <w:hyperlink r:id="rId3" w:history="1">
        <w:r w:rsidRPr="00821A46">
          <w:rPr>
            <w:rStyle w:val="Hyperlink"/>
          </w:rPr>
          <w:t>https://dichvucong.gov.vn/p/home/dvc-trang-chu.html</w:t>
        </w:r>
      </w:hyperlink>
      <w:r w:rsidRPr="00821A46">
        <w:t xml:space="preserve"> </w:t>
      </w:r>
    </w:p>
  </w:footnote>
  <w:footnote w:id="43">
    <w:p w14:paraId="2E314F77" w14:textId="38EDF31B" w:rsidR="00BE1961" w:rsidRDefault="00BE1961">
      <w:pPr>
        <w:pStyle w:val="FootnoteText"/>
      </w:pPr>
      <w:r>
        <w:rPr>
          <w:rStyle w:val="FootnoteReference"/>
        </w:rPr>
        <w:footnoteRef/>
      </w:r>
      <w:r>
        <w:t xml:space="preserve"> </w:t>
      </w:r>
      <w:r w:rsidR="00D9661B" w:rsidRPr="00C20C69">
        <w:t xml:space="preserve">By </w:t>
      </w:r>
      <w:r w:rsidR="007D425A" w:rsidRPr="00C27879">
        <w:t xml:space="preserve">the time this report </w:t>
      </w:r>
      <w:r w:rsidR="00C20C69" w:rsidRPr="00C27879">
        <w:t>was finalized in June 2024, new data has been released. Specifically</w:t>
      </w:r>
      <w:r w:rsidR="00C20C69" w:rsidRPr="00C20C69">
        <w:t xml:space="preserve">, by the </w:t>
      </w:r>
      <w:r w:rsidR="00D9661B" w:rsidRPr="00C20C69">
        <w:t xml:space="preserve">end of March 2024, </w:t>
      </w:r>
      <w:r w:rsidR="006B5E39" w:rsidRPr="006B5E39">
        <w:t xml:space="preserve">2,886 business </w:t>
      </w:r>
      <w:r w:rsidR="006B5E39">
        <w:t>regulations</w:t>
      </w:r>
      <w:r w:rsidR="00D83A93">
        <w:t xml:space="preserve"> were</w:t>
      </w:r>
      <w:r w:rsidR="006B5E39" w:rsidRPr="006B5E39">
        <w:t xml:space="preserve"> cut </w:t>
      </w:r>
      <w:r w:rsidR="00D83A93">
        <w:t>or</w:t>
      </w:r>
      <w:r w:rsidR="006B5E39" w:rsidRPr="006B5E39">
        <w:t xml:space="preserve"> simplified (including 1,486 administrative procedures, 175 </w:t>
      </w:r>
      <w:r w:rsidR="00D83A93">
        <w:t xml:space="preserve">investment </w:t>
      </w:r>
      <w:r w:rsidR="006B5E39" w:rsidRPr="006B5E39">
        <w:t xml:space="preserve">requirements, 92 reporting </w:t>
      </w:r>
      <w:r w:rsidR="00E67E68">
        <w:t>requirements</w:t>
      </w:r>
      <w:r w:rsidR="006B5E39" w:rsidRPr="006B5E39">
        <w:t xml:space="preserve">, 164 </w:t>
      </w:r>
      <w:r w:rsidR="00E67E68">
        <w:t xml:space="preserve">technical </w:t>
      </w:r>
      <w:r w:rsidR="006B5E39" w:rsidRPr="006B5E39">
        <w:t>regulations</w:t>
      </w:r>
      <w:r w:rsidR="00E67E68">
        <w:t xml:space="preserve"> and</w:t>
      </w:r>
      <w:r w:rsidR="006B5E39" w:rsidRPr="006B5E39">
        <w:t xml:space="preserve"> standards</w:t>
      </w:r>
      <w:r w:rsidR="00E67E68">
        <w:t>,</w:t>
      </w:r>
      <w:r w:rsidR="006B5E39" w:rsidRPr="006B5E39">
        <w:t xml:space="preserve"> and 969</w:t>
      </w:r>
      <w:r w:rsidR="0008109D">
        <w:t xml:space="preserve"> import</w:t>
      </w:r>
      <w:r w:rsidR="007E4003">
        <w:t xml:space="preserve"> control</w:t>
      </w:r>
      <w:r w:rsidR="0008109D">
        <w:t xml:space="preserve"> goods</w:t>
      </w:r>
      <w:r w:rsidR="006B5E39" w:rsidRPr="006B5E39">
        <w:t>).</w:t>
      </w:r>
    </w:p>
  </w:footnote>
  <w:footnote w:id="44">
    <w:p w14:paraId="44D126E3" w14:textId="07750B56" w:rsidR="00F66B4B" w:rsidRDefault="00F66B4B">
      <w:pPr>
        <w:pStyle w:val="FootnoteText"/>
      </w:pPr>
      <w:r>
        <w:rPr>
          <w:rStyle w:val="FootnoteReference"/>
        </w:rPr>
        <w:footnoteRef/>
      </w:r>
      <w:r>
        <w:t xml:space="preserve"> </w:t>
      </w:r>
      <w:hyperlink r:id="rId4" w:history="1">
        <w:r w:rsidR="00024402" w:rsidRPr="004D7CAD">
          <w:rPr>
            <w:rStyle w:val="Hyperlink"/>
          </w:rPr>
          <w:t>https://quydinhkinhdoanh.gov.vn/p/home/tmv-trang-chu.html</w:t>
        </w:r>
      </w:hyperlink>
      <w:r w:rsidR="00024402">
        <w:t xml:space="preserve">. </w:t>
      </w:r>
    </w:p>
  </w:footnote>
  <w:footnote w:id="45">
    <w:p w14:paraId="3C7C4712" w14:textId="05074827" w:rsidR="00852B06" w:rsidRDefault="00852B06" w:rsidP="00852B06">
      <w:pPr>
        <w:pStyle w:val="FootnoteText"/>
      </w:pPr>
      <w:r>
        <w:rPr>
          <w:rStyle w:val="FootnoteReference"/>
        </w:rPr>
        <w:footnoteRef/>
      </w:r>
      <w:r>
        <w:t xml:space="preserve"> Figure reported by APCA during consultations in January 2024.</w:t>
      </w:r>
    </w:p>
  </w:footnote>
  <w:footnote w:id="46">
    <w:p w14:paraId="06BF4CD1" w14:textId="7F3CFC41" w:rsidR="00852B06" w:rsidRDefault="00852B06" w:rsidP="00016207">
      <w:pPr>
        <w:pStyle w:val="FootnoteText"/>
        <w:jc w:val="both"/>
      </w:pPr>
      <w:r>
        <w:rPr>
          <w:rStyle w:val="FootnoteReference"/>
        </w:rPr>
        <w:footnoteRef/>
      </w:r>
      <w:r>
        <w:t xml:space="preserve"> Viet Nam has 18 Ministries</w:t>
      </w:r>
      <w:r w:rsidR="00A115EC">
        <w:t xml:space="preserve"> </w:t>
      </w:r>
      <w:r>
        <w:t xml:space="preserve">(Ministry of Foreign Affairs, Ministry of Defense, Ministry of Public Security, </w:t>
      </w:r>
    </w:p>
    <w:p w14:paraId="73F2A824" w14:textId="0AEFE4E8" w:rsidR="00852B06" w:rsidRDefault="00852B06" w:rsidP="00016207">
      <w:pPr>
        <w:pStyle w:val="FootnoteText"/>
        <w:jc w:val="both"/>
      </w:pPr>
      <w:r>
        <w:t xml:space="preserve">Ministry of Home Affairs, Ministry of Justice, Ministry of Finance, Ministry of Industry and Trade, Ministry of Planning and Investment, Ministry of Agriculture and Rural Development, Ministry of Construction, Ministry of Transport, Ministry of Education and Training, Ministry of Science and Technology, Ministry of Natural Resources and Environment, Ministry of Information and Communications, Ministry of Health, Ministry of Labor, Invalids and Social Affairs, Ministry of Culture, Sports and Tourism); and 4 Ministry-level agencies (government office, government inspectorate, State Bank of Viet Nam, and Committee for Ethnic Minority Affairs). The data </w:t>
      </w:r>
      <w:r w:rsidR="00194643">
        <w:t>shared by APCA</w:t>
      </w:r>
      <w:r>
        <w:t xml:space="preserve"> covers the agencies targeted by Resolution 68: 1</w:t>
      </w:r>
      <w:r w:rsidR="00A36923">
        <w:t>7</w:t>
      </w:r>
      <w:r>
        <w:t xml:space="preserve"> Ministries (excluding the Ministry of Foreign Affairs which do</w:t>
      </w:r>
      <w:r w:rsidR="00A36923">
        <w:t>es</w:t>
      </w:r>
      <w:r>
        <w:t xml:space="preserve"> not have business regulations) and the State Bank of Viet Nam (other Ministry-level agencies are not included either). For ease of reference, this section refers to ‘Ministries’ when discussing the regulatory reform. </w:t>
      </w:r>
    </w:p>
  </w:footnote>
  <w:footnote w:id="47">
    <w:p w14:paraId="3F297273" w14:textId="77777777" w:rsidR="00852B06" w:rsidRDefault="00852B06" w:rsidP="00852B06">
      <w:pPr>
        <w:pStyle w:val="FootnoteText"/>
      </w:pPr>
      <w:r>
        <w:rPr>
          <w:rStyle w:val="FootnoteReference"/>
        </w:rPr>
        <w:footnoteRef/>
      </w:r>
      <w:r>
        <w:t xml:space="preserve"> Decree No. 63/2010/ND-CP.</w:t>
      </w:r>
    </w:p>
  </w:footnote>
  <w:footnote w:id="48">
    <w:p w14:paraId="34188BE8" w14:textId="77777777" w:rsidR="00852B06" w:rsidRDefault="00852B06" w:rsidP="00852B06">
      <w:pPr>
        <w:pStyle w:val="FootnoteText"/>
      </w:pPr>
      <w:r>
        <w:rPr>
          <w:rStyle w:val="FootnoteReference"/>
        </w:rPr>
        <w:footnoteRef/>
      </w:r>
      <w:r>
        <w:t xml:space="preserve"> Circular </w:t>
      </w:r>
      <w:r w:rsidRPr="00AD084E">
        <w:t>02/2017/TT-VPCP</w:t>
      </w:r>
      <w:r>
        <w:t>.</w:t>
      </w:r>
    </w:p>
  </w:footnote>
  <w:footnote w:id="49">
    <w:p w14:paraId="2CBC0CDD" w14:textId="6B804B8C" w:rsidR="00852B06" w:rsidRDefault="00852B06" w:rsidP="00852B06">
      <w:pPr>
        <w:pStyle w:val="FootnoteText"/>
      </w:pPr>
      <w:r>
        <w:rPr>
          <w:rStyle w:val="FootnoteReference"/>
        </w:rPr>
        <w:footnoteRef/>
      </w:r>
      <w:r>
        <w:t xml:space="preserve"> The Standard Cost Model is a methodology to assess costs originally developed in the Netherlands in the early 2000s and later adopted by many OECD countries and some developing countries to assess the cost of complying with regulations</w:t>
      </w:r>
      <w:r w:rsidR="009D7FFE">
        <w:t xml:space="preserve"> (World Bank Group 2010)</w:t>
      </w:r>
      <w:r>
        <w:t xml:space="preserve">. </w:t>
      </w:r>
    </w:p>
  </w:footnote>
  <w:footnote w:id="50">
    <w:p w14:paraId="5E10CEF6" w14:textId="62944BBB" w:rsidR="00CE2233" w:rsidRDefault="00CE2233">
      <w:pPr>
        <w:pStyle w:val="FootnoteText"/>
      </w:pPr>
      <w:r>
        <w:rPr>
          <w:rStyle w:val="FootnoteReference"/>
        </w:rPr>
        <w:footnoteRef/>
      </w:r>
      <w:r>
        <w:t xml:space="preserve"> The calculation of compliance cost is based on the administrative and non-administrative costs to comply, multiplied by the number of transactions. Therefore, a procedure with zero transactions in a year would have zero compliance costs. </w:t>
      </w:r>
    </w:p>
  </w:footnote>
  <w:footnote w:id="51">
    <w:p w14:paraId="23B2E48F" w14:textId="572187BB" w:rsidR="00D22BF7" w:rsidRDefault="00D22BF7" w:rsidP="00D22BF7">
      <w:pPr>
        <w:pStyle w:val="FootnoteText"/>
      </w:pPr>
      <w:r w:rsidRPr="0063052A">
        <w:rPr>
          <w:rStyle w:val="FootnoteReference"/>
        </w:rPr>
        <w:footnoteRef/>
      </w:r>
      <w:r w:rsidRPr="0063052A">
        <w:t xml:space="preserve"> </w:t>
      </w:r>
      <w:r w:rsidRPr="0064533A">
        <w:t>OECD</w:t>
      </w:r>
      <w:r w:rsidR="00EC5C68">
        <w:t>,</w:t>
      </w:r>
      <w:r w:rsidR="0063052A" w:rsidRPr="0063052A">
        <w:t xml:space="preserve"> 2022</w:t>
      </w:r>
    </w:p>
  </w:footnote>
  <w:footnote w:id="52">
    <w:p w14:paraId="694FAB96" w14:textId="77777777" w:rsidR="0053580B" w:rsidRDefault="0053580B" w:rsidP="0053580B">
      <w:pPr>
        <w:pStyle w:val="FootnoteText"/>
      </w:pPr>
      <w:r>
        <w:rPr>
          <w:rStyle w:val="FootnoteReference"/>
        </w:rPr>
        <w:footnoteRef/>
      </w:r>
      <w:r>
        <w:t xml:space="preserve"> The Prime Minister gives guidance on reform priorities, such as the Directive </w:t>
      </w:r>
      <w:r w:rsidRPr="00A438A7">
        <w:rPr>
          <w:spacing w:val="-4"/>
        </w:rPr>
        <w:t xml:space="preserve">27/CT-TTg </w:t>
      </w:r>
      <w:r>
        <w:rPr>
          <w:spacing w:val="-4"/>
        </w:rPr>
        <w:t xml:space="preserve">dated October 27, 2023, and the </w:t>
      </w:r>
      <w:r>
        <w:t>Decision</w:t>
      </w:r>
      <w:r w:rsidRPr="00AA01DA">
        <w:t xml:space="preserve"> </w:t>
      </w:r>
      <w:hyperlink r:id="rId5" w:history="1">
        <w:r w:rsidRPr="00A438A7">
          <w:rPr>
            <w:rStyle w:val="Hyperlink"/>
          </w:rPr>
          <w:t xml:space="preserve">933/QĐ-TTg </w:t>
        </w:r>
      </w:hyperlink>
      <w:r>
        <w:rPr>
          <w:rStyle w:val="Hyperlink"/>
        </w:rPr>
        <w:t xml:space="preserve">dated August 06, </w:t>
      </w:r>
      <w:r w:rsidRPr="00A438A7">
        <w:t>2023</w:t>
      </w:r>
      <w:r>
        <w:t>.</w:t>
      </w:r>
    </w:p>
  </w:footnote>
  <w:footnote w:id="53">
    <w:p w14:paraId="20F70D54" w14:textId="174E6894" w:rsidR="00D22BF7" w:rsidRDefault="00D22BF7" w:rsidP="00D22BF7">
      <w:pPr>
        <w:pStyle w:val="FootnoteText"/>
      </w:pPr>
      <w:r>
        <w:rPr>
          <w:rStyle w:val="FootnoteReference"/>
        </w:rPr>
        <w:footnoteRef/>
      </w:r>
      <w:r>
        <w:t xml:space="preserve"> Resolution 68/NQ-CP of 2020, Section III, art. 1 d).</w:t>
      </w:r>
      <w:r w:rsidR="00954EAE" w:rsidRPr="00954EAE">
        <w:t xml:space="preserve"> Just fourteen of the </w:t>
      </w:r>
      <w:r w:rsidR="00CD082D" w:rsidRPr="00954EAE">
        <w:t>2</w:t>
      </w:r>
      <w:r w:rsidR="00CD082D">
        <w:t>44</w:t>
      </w:r>
      <w:r w:rsidR="00CD082D" w:rsidRPr="00954EAE">
        <w:t xml:space="preserve"> </w:t>
      </w:r>
      <w:r w:rsidR="00954EAE" w:rsidRPr="00954EAE">
        <w:t>legal texts issued between 2020 and 2023 are related to procedures related to import and export of goods.</w:t>
      </w:r>
    </w:p>
  </w:footnote>
  <w:footnote w:id="54">
    <w:p w14:paraId="586F0E43" w14:textId="335566B6" w:rsidR="007D0281" w:rsidRDefault="007D0281" w:rsidP="00016207">
      <w:pPr>
        <w:pStyle w:val="FootnoteText"/>
        <w:jc w:val="both"/>
      </w:pPr>
      <w:r>
        <w:rPr>
          <w:rStyle w:val="FootnoteReference"/>
        </w:rPr>
        <w:footnoteRef/>
      </w:r>
      <w:r>
        <w:t xml:space="preserve"> </w:t>
      </w:r>
      <w:r w:rsidR="00B14E76">
        <w:t xml:space="preserve">World Bank, “Maturity assessment of licensing and inspections in Viet Nam”, </w:t>
      </w:r>
      <w:r w:rsidR="00892993">
        <w:t xml:space="preserve">forthcoming. </w:t>
      </w:r>
      <w:r w:rsidR="00087700">
        <w:t xml:space="preserve">See Annex D for details about methodology. </w:t>
      </w:r>
    </w:p>
  </w:footnote>
  <w:footnote w:id="55">
    <w:p w14:paraId="10B4654A" w14:textId="1B39D7ED" w:rsidR="00B5785A" w:rsidRDefault="00B5785A" w:rsidP="00016207">
      <w:pPr>
        <w:pStyle w:val="FootnoteText"/>
        <w:jc w:val="both"/>
      </w:pPr>
      <w:r>
        <w:rPr>
          <w:rStyle w:val="FootnoteReference"/>
        </w:rPr>
        <w:footnoteRef/>
      </w:r>
      <w:r>
        <w:t xml:space="preserve"> </w:t>
      </w:r>
      <w:r w:rsidR="00427F05" w:rsidRPr="00427F05">
        <w:t>Law No. 61/2020/QH14 of June 8, 2020, on Investment.</w:t>
      </w:r>
    </w:p>
  </w:footnote>
  <w:footnote w:id="56">
    <w:p w14:paraId="13BB85B1" w14:textId="04B4B727" w:rsidR="00CF221B" w:rsidRDefault="00CF221B" w:rsidP="00016207">
      <w:pPr>
        <w:pStyle w:val="FootnoteText"/>
        <w:jc w:val="both"/>
      </w:pPr>
      <w:r>
        <w:rPr>
          <w:rStyle w:val="FootnoteReference"/>
        </w:rPr>
        <w:footnoteRef/>
      </w:r>
      <w:r>
        <w:t xml:space="preserve">  </w:t>
      </w:r>
      <w:r w:rsidR="009737B2" w:rsidRPr="009737B2">
        <w:t>In some cases, the description is at a high level. For example, “sports business by sports enterprises and professional sports clubs”, therefore all sports-related activities are captured by the description and are subject to conditions.</w:t>
      </w:r>
      <w:r w:rsidR="00F55710" w:rsidRPr="00F55710">
        <w:t xml:space="preserve"> In other cases, the business line refers to a specific activity that is included as part of a broader class of economic activities. For example, the list refers to “massage services”, and “pawn shop” services, which are covered under classes 9609 and 4774 respectively in ISIC 4 (hence these are beyond the fourth-digit level). Lastly, in other cases, appendix IV does not refer to specific economic activities based on a standard classification. For example, it refers to “trading in foods under the management of the Ministry of Agriculture and Rural Development”, and “trading in foods under the management of the Ministry of Industry and Trade”.</w:t>
      </w:r>
    </w:p>
  </w:footnote>
  <w:footnote w:id="57">
    <w:p w14:paraId="40C71F04" w14:textId="77777777" w:rsidR="00D22BF7" w:rsidRDefault="00D22BF7" w:rsidP="00016207">
      <w:pPr>
        <w:pStyle w:val="FootnoteText"/>
        <w:jc w:val="both"/>
      </w:pPr>
      <w:r>
        <w:rPr>
          <w:rStyle w:val="FootnoteReference"/>
        </w:rPr>
        <w:footnoteRef/>
      </w:r>
      <w:r>
        <w:t xml:space="preserve"> Procedures required before the business can start operations.</w:t>
      </w:r>
    </w:p>
  </w:footnote>
  <w:footnote w:id="58">
    <w:p w14:paraId="6C5F6451" w14:textId="77777777" w:rsidR="00BE7C6F" w:rsidRPr="005026D1" w:rsidRDefault="00BE7C6F" w:rsidP="00016207">
      <w:pPr>
        <w:pStyle w:val="FootnoteText"/>
        <w:jc w:val="both"/>
        <w:rPr>
          <w:rFonts w:cstheme="minorHAnsi"/>
        </w:rPr>
      </w:pPr>
      <w:r w:rsidRPr="005026D1">
        <w:rPr>
          <w:rStyle w:val="FootnoteReference"/>
          <w:rFonts w:cstheme="minorHAnsi"/>
        </w:rPr>
        <w:footnoteRef/>
      </w:r>
      <w:r w:rsidRPr="005026D1">
        <w:rPr>
          <w:rFonts w:cstheme="minorHAnsi"/>
        </w:rPr>
        <w:t xml:space="preserve"> Note that this number does not include tax-related, custom related or trade related procedures (e.g., import and export licenses).</w:t>
      </w:r>
    </w:p>
  </w:footnote>
  <w:footnote w:id="59">
    <w:p w14:paraId="4D92F7DE" w14:textId="22D84FCD" w:rsidR="00681E0D" w:rsidRDefault="00681E0D">
      <w:pPr>
        <w:pStyle w:val="FootnoteText"/>
      </w:pPr>
      <w:r>
        <w:rPr>
          <w:rStyle w:val="FootnoteReference"/>
        </w:rPr>
        <w:footnoteRef/>
      </w:r>
      <w:r>
        <w:t xml:space="preserve"> </w:t>
      </w:r>
      <w:r w:rsidR="00D90766">
        <w:t xml:space="preserve">World Bank. 2020. </w:t>
      </w:r>
      <w:r w:rsidR="003512F6">
        <w:t xml:space="preserve">Implementation </w:t>
      </w:r>
      <w:r w:rsidR="003D2028">
        <w:t>Completion</w:t>
      </w:r>
      <w:r w:rsidR="003512F6">
        <w:t xml:space="preserve"> and Results Report for the Moldova Economic Governance DPO1</w:t>
      </w:r>
      <w:r w:rsidR="00B31AF8">
        <w:t>, July 31, 2020.</w:t>
      </w:r>
    </w:p>
  </w:footnote>
  <w:footnote w:id="60">
    <w:p w14:paraId="31FDAB94" w14:textId="405C8083" w:rsidR="00D22BF7" w:rsidRDefault="00D22BF7" w:rsidP="00016207">
      <w:pPr>
        <w:pStyle w:val="FootnoteText"/>
        <w:jc w:val="both"/>
      </w:pPr>
      <w:r>
        <w:rPr>
          <w:rStyle w:val="FootnoteReference"/>
        </w:rPr>
        <w:footnoteRef/>
      </w:r>
      <w:r>
        <w:t xml:space="preserve"> The </w:t>
      </w:r>
      <w:r w:rsidRPr="00774CD6">
        <w:t>list includes</w:t>
      </w:r>
      <w:r w:rsidR="00A07F3F">
        <w:t xml:space="preserve"> that are considered</w:t>
      </w:r>
      <w:r w:rsidRPr="00774CD6">
        <w:t xml:space="preserve"> </w:t>
      </w:r>
      <w:r>
        <w:t xml:space="preserve">low risk </w:t>
      </w:r>
      <w:r w:rsidR="00A07F3F">
        <w:t>in other jurisdictions</w:t>
      </w:r>
      <w:r w:rsidR="00A07F3F" w:rsidRPr="00774CD6">
        <w:t xml:space="preserve"> </w:t>
      </w:r>
      <w:r w:rsidRPr="00774CD6">
        <w:t>such as “massage services”, “e-commerce activities”, “overseas study consultancy services”, “travel services”, “antiques assessment services”, “art performance, fashion show, beauty contest, model contest services”, “trading audios and videos of dance, music and stage performances</w:t>
      </w:r>
      <w:r w:rsidR="00C7185A">
        <w:t>,</w:t>
      </w:r>
      <w:r w:rsidRPr="00774CD6">
        <w:t>”</w:t>
      </w:r>
      <w:r>
        <w:t xml:space="preserve"> to name a few examples.</w:t>
      </w:r>
    </w:p>
  </w:footnote>
  <w:footnote w:id="61">
    <w:p w14:paraId="6BAC1F69" w14:textId="77777777" w:rsidR="00D22BF7" w:rsidRDefault="00D22BF7" w:rsidP="00016207">
      <w:pPr>
        <w:pStyle w:val="FootnoteText"/>
        <w:jc w:val="both"/>
      </w:pPr>
      <w:r>
        <w:rPr>
          <w:rStyle w:val="FootnoteReference"/>
        </w:rPr>
        <w:footnoteRef/>
      </w:r>
      <w:r>
        <w:t xml:space="preserve"> BLIMS Pilot.</w:t>
      </w:r>
    </w:p>
  </w:footnote>
  <w:footnote w:id="62">
    <w:p w14:paraId="6A2C2A99" w14:textId="2860F6E8" w:rsidR="00A66A97" w:rsidRDefault="00A66A97" w:rsidP="00016207">
      <w:pPr>
        <w:pStyle w:val="FootnoteText"/>
        <w:jc w:val="both"/>
      </w:pPr>
      <w:r>
        <w:rPr>
          <w:rStyle w:val="FootnoteReference"/>
        </w:rPr>
        <w:footnoteRef/>
      </w:r>
      <w:r>
        <w:t xml:space="preserve"> In the case of retail food trade establishments such as grocery stores, supermarkets, farmers’ markets, and other food establishments that sell food directly to consumers such as restaurants, and catering businesses, ex-ante inspections and onerous licensing procedures are not typically required in in several EU Member States. Exceptions apply in the case where the food is provided in the context of a high-risk. For example, </w:t>
      </w:r>
      <w:r w:rsidRPr="0024724F">
        <w:t xml:space="preserve">in </w:t>
      </w:r>
      <w:r>
        <w:t xml:space="preserve">the case of </w:t>
      </w:r>
      <w:r w:rsidRPr="0024724F">
        <w:t xml:space="preserve">prisons, </w:t>
      </w:r>
      <w:r w:rsidR="000B3C4F" w:rsidRPr="0024724F">
        <w:t>kinder ga</w:t>
      </w:r>
      <w:r w:rsidR="000B3C4F">
        <w:t>r</w:t>
      </w:r>
      <w:r w:rsidR="000B3C4F" w:rsidRPr="0024724F">
        <w:t>dens</w:t>
      </w:r>
      <w:r w:rsidRPr="0024724F">
        <w:t>, hospitals and nursing homes where the residents are either immunocompromised or simply less resilient than the average population</w:t>
      </w:r>
      <w:r>
        <w:t xml:space="preserve"> some ex-ante controls may apply </w:t>
      </w:r>
      <w:r w:rsidRPr="0024724F">
        <w:t>to assess how the business operator meets pre-requisite requirements, how the hazard analyses and HACCP plans are developed and how other HACCP principles are applied</w:t>
      </w:r>
      <w:r>
        <w:t>.</w:t>
      </w:r>
    </w:p>
  </w:footnote>
  <w:footnote w:id="63">
    <w:p w14:paraId="0A29543A" w14:textId="27F56549" w:rsidR="00590C1D" w:rsidRDefault="00590C1D" w:rsidP="00016207">
      <w:pPr>
        <w:pStyle w:val="FootnoteText"/>
        <w:jc w:val="both"/>
      </w:pPr>
      <w:r>
        <w:rPr>
          <w:rStyle w:val="FootnoteReference"/>
        </w:rPr>
        <w:footnoteRef/>
      </w:r>
      <w:r>
        <w:t xml:space="preserve"> </w:t>
      </w:r>
      <w:r w:rsidR="009275C0">
        <w:t>APCA’s</w:t>
      </w:r>
      <w:r>
        <w:t xml:space="preserve"> guidance for reviewing some key licensing procedures under the Prime Minister’s Decision No. 104 issuing the plan to review and reform key procedures in 2024. </w:t>
      </w:r>
    </w:p>
  </w:footnote>
  <w:footnote w:id="64">
    <w:p w14:paraId="541E544B" w14:textId="5E3A53F2" w:rsidR="001C154F" w:rsidRDefault="001C154F" w:rsidP="00016207">
      <w:pPr>
        <w:pStyle w:val="FootnoteText"/>
        <w:jc w:val="both"/>
      </w:pPr>
      <w:r>
        <w:rPr>
          <w:rStyle w:val="FootnoteReference"/>
        </w:rPr>
        <w:footnoteRef/>
      </w:r>
      <w:r>
        <w:t xml:space="preserve"> VCCI and USAID</w:t>
      </w:r>
      <w:r w:rsidR="00F02D8C">
        <w:t>,</w:t>
      </w:r>
      <w:r>
        <w:t xml:space="preserve"> 2022.</w:t>
      </w:r>
    </w:p>
  </w:footnote>
  <w:footnote w:id="65">
    <w:p w14:paraId="583E1EAD" w14:textId="2AECFB4C" w:rsidR="00C31B4B" w:rsidRDefault="00C31B4B" w:rsidP="00016207">
      <w:pPr>
        <w:pStyle w:val="FootnoteText"/>
        <w:jc w:val="both"/>
      </w:pPr>
      <w:r>
        <w:rPr>
          <w:rStyle w:val="FootnoteReference"/>
        </w:rPr>
        <w:footnoteRef/>
      </w:r>
      <w:r>
        <w:t xml:space="preserve"> </w:t>
      </w:r>
      <w:r w:rsidR="00A36062">
        <w:t xml:space="preserve">Regulatory oversight bodies are </w:t>
      </w:r>
      <w:r w:rsidR="00891F4D">
        <w:t>in</w:t>
      </w:r>
      <w:r w:rsidR="0012506A">
        <w:t>stitutions responsible for promoting regulatory policy</w:t>
      </w:r>
      <w:r w:rsidR="00744114">
        <w:t xml:space="preserve"> and</w:t>
      </w:r>
      <w:r w:rsidR="0012506A">
        <w:t xml:space="preserve"> coordinating</w:t>
      </w:r>
      <w:r w:rsidR="00DA3875">
        <w:t>,</w:t>
      </w:r>
      <w:r w:rsidR="0012506A">
        <w:t xml:space="preserve"> monitoring</w:t>
      </w:r>
      <w:r w:rsidR="00A36062">
        <w:t xml:space="preserve"> </w:t>
      </w:r>
      <w:r w:rsidR="00DA3875">
        <w:t xml:space="preserve">and reporting on regulatory reform </w:t>
      </w:r>
      <w:r w:rsidR="00744114">
        <w:t>across the government.</w:t>
      </w:r>
    </w:p>
  </w:footnote>
  <w:footnote w:id="66">
    <w:p w14:paraId="57233A70" w14:textId="561D51BB" w:rsidR="005D5E4E" w:rsidRDefault="005D5E4E" w:rsidP="00016207">
      <w:pPr>
        <w:pStyle w:val="FootnoteText"/>
        <w:jc w:val="both"/>
      </w:pPr>
      <w:r>
        <w:rPr>
          <w:rStyle w:val="FootnoteReference"/>
        </w:rPr>
        <w:footnoteRef/>
      </w:r>
      <w:r>
        <w:t xml:space="preserve"> </w:t>
      </w:r>
      <w:r w:rsidRPr="005D5E4E">
        <w:t>For example, during the WB mission in Ha Noi, the team identified a potential overlap between MARD and the Ministry of Industry and Trade in animal health management, in the context of food safety. This is due to potential overlaps in the animal health law and the food safety administration law. Therefore, a regulatory review in this area is recommended, to identify any overlaps in the sectoral regulations and clarify the mandates.</w:t>
      </w:r>
    </w:p>
  </w:footnote>
  <w:footnote w:id="67">
    <w:p w14:paraId="6341855B" w14:textId="6071645B" w:rsidR="00740EE6" w:rsidRDefault="00740EE6" w:rsidP="00740EE6">
      <w:pPr>
        <w:pStyle w:val="FootnoteText"/>
      </w:pPr>
      <w:r>
        <w:rPr>
          <w:rStyle w:val="FootnoteReference"/>
        </w:rPr>
        <w:footnoteRef/>
      </w:r>
      <w:r>
        <w:t xml:space="preserve"> </w:t>
      </w:r>
      <w:r w:rsidRPr="00934B04">
        <w:t xml:space="preserve">Decision 415/QD-TTg </w:t>
      </w:r>
      <w:r>
        <w:t>of</w:t>
      </w:r>
      <w:r w:rsidRPr="00934B04">
        <w:t xml:space="preserve"> 2017</w:t>
      </w:r>
      <w:r>
        <w:t>.</w:t>
      </w:r>
    </w:p>
  </w:footnote>
  <w:footnote w:id="68">
    <w:p w14:paraId="63A5DED4" w14:textId="353C904F" w:rsidR="00740EE6" w:rsidRDefault="00740EE6" w:rsidP="00740EE6">
      <w:pPr>
        <w:pStyle w:val="FootnoteText"/>
      </w:pPr>
      <w:r>
        <w:rPr>
          <w:rStyle w:val="FootnoteReference"/>
        </w:rPr>
        <w:footnoteRef/>
      </w:r>
      <w:r>
        <w:t xml:space="preserve"> OECD 202</w:t>
      </w:r>
      <w:r w:rsidR="002F33A7">
        <w:t>2</w:t>
      </w:r>
    </w:p>
  </w:footnote>
  <w:footnote w:id="69">
    <w:p w14:paraId="6D6264FF" w14:textId="77777777" w:rsidR="00740EE6" w:rsidRDefault="00740EE6" w:rsidP="00740EE6">
      <w:pPr>
        <w:pStyle w:val="FootnoteText"/>
      </w:pPr>
      <w:r>
        <w:rPr>
          <w:rStyle w:val="FootnoteReference"/>
        </w:rPr>
        <w:footnoteRef/>
      </w:r>
      <w:r>
        <w:t xml:space="preserve"> Ibid. </w:t>
      </w:r>
    </w:p>
  </w:footnote>
  <w:footnote w:id="70">
    <w:p w14:paraId="72C97FBF" w14:textId="77777777" w:rsidR="00740EE6" w:rsidRDefault="00740EE6" w:rsidP="00740EE6">
      <w:pPr>
        <w:pStyle w:val="FootnoteText"/>
      </w:pPr>
      <w:r>
        <w:rPr>
          <w:rStyle w:val="FootnoteReference"/>
        </w:rPr>
        <w:footnoteRef/>
      </w:r>
      <w:r>
        <w:t xml:space="preserve"> Decree </w:t>
      </w:r>
      <w:r w:rsidRPr="00C5002C">
        <w:t>No. 63/2010/ND-CP</w:t>
      </w:r>
      <w:r>
        <w:t>.</w:t>
      </w:r>
    </w:p>
  </w:footnote>
  <w:footnote w:id="71">
    <w:p w14:paraId="3736BEFE" w14:textId="77777777" w:rsidR="00740EE6" w:rsidRDefault="00740EE6" w:rsidP="00740EE6">
      <w:pPr>
        <w:pStyle w:val="FootnoteText"/>
      </w:pPr>
      <w:r>
        <w:rPr>
          <w:rStyle w:val="FootnoteReference"/>
        </w:rPr>
        <w:footnoteRef/>
      </w:r>
      <w:r>
        <w:t xml:space="preserve"> </w:t>
      </w:r>
      <w:hyperlink r:id="rId6" w:history="1">
        <w:r w:rsidRPr="0093639C">
          <w:rPr>
            <w:rStyle w:val="Hyperlink"/>
          </w:rPr>
          <w:t>https://quydinhkinhdoanh.gov.vn/p/home/tmv-trang-chu.html</w:t>
        </w:r>
      </w:hyperlink>
      <w:r>
        <w:t xml:space="preserve"> </w:t>
      </w:r>
    </w:p>
  </w:footnote>
  <w:footnote w:id="72">
    <w:p w14:paraId="4A49F2CF" w14:textId="5249E00F" w:rsidR="00740EE6" w:rsidRPr="008352EF" w:rsidRDefault="00740EE6" w:rsidP="00740EE6">
      <w:pPr>
        <w:pStyle w:val="FootnoteText"/>
        <w:rPr>
          <w:lang w:val="nl-NL"/>
        </w:rPr>
      </w:pPr>
      <w:r>
        <w:rPr>
          <w:rStyle w:val="FootnoteReference"/>
        </w:rPr>
        <w:footnoteRef/>
      </w:r>
      <w:r w:rsidRPr="008352EF">
        <w:rPr>
          <w:lang w:val="nl-NL"/>
        </w:rPr>
        <w:t xml:space="preserve"> OECD 202</w:t>
      </w:r>
      <w:r w:rsidR="002F33A7" w:rsidRPr="008352EF">
        <w:rPr>
          <w:lang w:val="nl-NL"/>
        </w:rPr>
        <w:t>2</w:t>
      </w:r>
    </w:p>
  </w:footnote>
  <w:footnote w:id="73">
    <w:p w14:paraId="3B0AE8E7" w14:textId="09F53AB7" w:rsidR="00166F9E" w:rsidRPr="008352EF" w:rsidRDefault="00166F9E" w:rsidP="00166F9E">
      <w:pPr>
        <w:pStyle w:val="FootnoteText"/>
        <w:rPr>
          <w:lang w:val="nl-NL"/>
        </w:rPr>
      </w:pPr>
      <w:r>
        <w:rPr>
          <w:rStyle w:val="FootnoteReference"/>
        </w:rPr>
        <w:footnoteRef/>
      </w:r>
      <w:r w:rsidRPr="008352EF">
        <w:rPr>
          <w:lang w:val="nl-NL"/>
        </w:rPr>
        <w:t xml:space="preserve"> OECD 2021. </w:t>
      </w:r>
    </w:p>
  </w:footnote>
  <w:footnote w:id="74">
    <w:p w14:paraId="2C95C2C1" w14:textId="10D53484" w:rsidR="00166F9E" w:rsidRPr="008352EF" w:rsidRDefault="00166F9E" w:rsidP="00166F9E">
      <w:pPr>
        <w:pStyle w:val="FootnoteText"/>
        <w:rPr>
          <w:lang w:val="nl-NL"/>
        </w:rPr>
      </w:pPr>
      <w:r>
        <w:rPr>
          <w:rStyle w:val="FootnoteReference"/>
        </w:rPr>
        <w:footnoteRef/>
      </w:r>
      <w:r w:rsidRPr="008352EF">
        <w:rPr>
          <w:lang w:val="nl-NL"/>
        </w:rPr>
        <w:t xml:space="preserve"> OECD 2021. </w:t>
      </w:r>
    </w:p>
  </w:footnote>
  <w:footnote w:id="75">
    <w:p w14:paraId="3ED6ACA2" w14:textId="561D59C5" w:rsidR="002D4EB1" w:rsidRPr="008352EF" w:rsidRDefault="002D4EB1">
      <w:pPr>
        <w:pStyle w:val="FootnoteText"/>
        <w:rPr>
          <w:lang w:val="nl-NL"/>
        </w:rPr>
      </w:pPr>
      <w:r>
        <w:rPr>
          <w:rStyle w:val="FootnoteReference"/>
        </w:rPr>
        <w:footnoteRef/>
      </w:r>
      <w:r w:rsidRPr="008352EF">
        <w:rPr>
          <w:lang w:val="nl-NL"/>
        </w:rPr>
        <w:t xml:space="preserve"> </w:t>
      </w:r>
      <w:r w:rsidR="00C07304" w:rsidRPr="008352EF">
        <w:rPr>
          <w:lang w:val="nl-NL"/>
        </w:rPr>
        <w:t>Ladegaard et al. 2018</w:t>
      </w:r>
      <w:r w:rsidR="000825B3" w:rsidRPr="008352EF">
        <w:rPr>
          <w:lang w:val="nl-NL"/>
        </w:rPr>
        <w:t>.</w:t>
      </w:r>
    </w:p>
  </w:footnote>
  <w:footnote w:id="76">
    <w:p w14:paraId="494D3B1F" w14:textId="642EBBF0" w:rsidR="0010504A" w:rsidRDefault="0010504A">
      <w:pPr>
        <w:pStyle w:val="FootnoteText"/>
      </w:pPr>
      <w:r>
        <w:rPr>
          <w:rStyle w:val="FootnoteReference"/>
        </w:rPr>
        <w:footnoteRef/>
      </w:r>
      <w:r>
        <w:t xml:space="preserve"> </w:t>
      </w:r>
      <w:r w:rsidR="009265FE">
        <w:t xml:space="preserve">RIA is an important tool </w:t>
      </w:r>
      <w:r w:rsidR="009531D2">
        <w:t xml:space="preserve">to improve the quality of </w:t>
      </w:r>
      <w:r w:rsidR="006162EA">
        <w:t>regulations</w:t>
      </w:r>
      <w:r w:rsidR="00AD64D4">
        <w:t>,</w:t>
      </w:r>
      <w:r w:rsidR="009531D2">
        <w:t xml:space="preserve"> </w:t>
      </w:r>
      <w:r w:rsidR="00B2781D">
        <w:t xml:space="preserve">but it </w:t>
      </w:r>
      <w:r w:rsidR="00EE2EAF">
        <w:t xml:space="preserve">also requires </w:t>
      </w:r>
      <w:r w:rsidR="00FD52FF">
        <w:t xml:space="preserve">investment in capacity building and </w:t>
      </w:r>
      <w:r w:rsidR="007927ED">
        <w:t xml:space="preserve">a strong monitoring and evaluation system. </w:t>
      </w:r>
      <w:r w:rsidR="000B6627">
        <w:t xml:space="preserve">RIA has been adopted for </w:t>
      </w:r>
      <w:r w:rsidR="00AD64D4">
        <w:t xml:space="preserve">15 years in Viet </w:t>
      </w:r>
      <w:r w:rsidR="00907EB1">
        <w:t>Nam,</w:t>
      </w:r>
      <w:r w:rsidR="00AD64D4">
        <w:t xml:space="preserve"> but quality of RIA reports </w:t>
      </w:r>
      <w:r w:rsidR="005A1C7E">
        <w:t xml:space="preserve">is </w:t>
      </w:r>
      <w:r w:rsidR="002C11B5">
        <w:t xml:space="preserve">still largely questionable. The World Bank is conducting a </w:t>
      </w:r>
      <w:r w:rsidR="00FA7FD2">
        <w:t xml:space="preserve">study to </w:t>
      </w:r>
      <w:r w:rsidR="00C764AB">
        <w:t xml:space="preserve">measure the quality of RIA </w:t>
      </w:r>
      <w:r w:rsidR="00203BA1">
        <w:t xml:space="preserve">reports </w:t>
      </w:r>
      <w:r w:rsidR="00DC2FA2">
        <w:t xml:space="preserve">vis-a-via Viet Nam’s laws and international good practices and </w:t>
      </w:r>
      <w:r w:rsidR="003A0486">
        <w:t xml:space="preserve">recommend measures to improve RIA </w:t>
      </w:r>
      <w:r w:rsidR="006F2BB6">
        <w:t xml:space="preserve">implementation in Viet Nam. </w:t>
      </w:r>
    </w:p>
  </w:footnote>
  <w:footnote w:id="77">
    <w:p w14:paraId="001A79D7" w14:textId="50E1DEBC" w:rsidR="00AB6F9F" w:rsidRDefault="00AB6F9F">
      <w:pPr>
        <w:pStyle w:val="FootnoteText"/>
      </w:pPr>
      <w:r>
        <w:rPr>
          <w:rStyle w:val="FootnoteReference"/>
        </w:rPr>
        <w:footnoteRef/>
      </w:r>
      <w:r>
        <w:t xml:space="preserve"> </w:t>
      </w:r>
      <w:r w:rsidR="00587139">
        <w:t>OECD 2021.</w:t>
      </w:r>
    </w:p>
  </w:footnote>
  <w:footnote w:id="78">
    <w:p w14:paraId="1F3481AA" w14:textId="5BEFFE9A" w:rsidR="00ED6133" w:rsidRDefault="00ED6133">
      <w:pPr>
        <w:pStyle w:val="FootnoteText"/>
      </w:pPr>
      <w:r>
        <w:rPr>
          <w:rStyle w:val="FootnoteReference"/>
        </w:rPr>
        <w:footnoteRef/>
      </w:r>
      <w:r>
        <w:t xml:space="preserve"> </w:t>
      </w:r>
      <w:r w:rsidR="006355A3">
        <w:t>ibid</w:t>
      </w:r>
    </w:p>
  </w:footnote>
  <w:footnote w:id="79">
    <w:p w14:paraId="085D41FB" w14:textId="368A2A48" w:rsidR="00166F9E" w:rsidRDefault="00166F9E" w:rsidP="00016207">
      <w:pPr>
        <w:pStyle w:val="FootnoteText"/>
        <w:jc w:val="both"/>
      </w:pPr>
      <w:r>
        <w:rPr>
          <w:rStyle w:val="FootnoteReference"/>
        </w:rPr>
        <w:footnoteRef/>
      </w:r>
      <w:r>
        <w:t xml:space="preserve"> </w:t>
      </w:r>
      <w:r w:rsidRPr="00DC223C">
        <w:t xml:space="preserve">According to Decree 138/2020/ND-CP on recruiting, </w:t>
      </w:r>
      <w:r w:rsidR="000B52F9" w:rsidRPr="00DC223C">
        <w:t>employing,</w:t>
      </w:r>
      <w:r w:rsidRPr="00DC223C">
        <w:t xml:space="preserve"> and managing civil servants, Ministries and provincial People's Committees are responsible for managing the quantity, standards, recruitment, and employment of civil servants under their authority</w:t>
      </w:r>
      <w:r>
        <w:t>.</w:t>
      </w:r>
      <w:r w:rsidR="00F534A5" w:rsidRPr="00F534A5">
        <w:t xml:space="preserve"> Decree 62/2020/ND-CP on civil servant roles and payrolls stipulates that the Ministers are responsible for providing guidance on roles for civil servants working in their managed sectors from the central to local levels, while provincial People's Committees are responsible for deciding and adjusting roles in agencies and organizations under their responsibility. In fact, the requirements on the competency, qualifications, and terms of reference of civil servants are embedded in the recruitment process.</w:t>
      </w:r>
    </w:p>
  </w:footnote>
  <w:footnote w:id="80">
    <w:p w14:paraId="7CB8E1D1" w14:textId="77777777" w:rsidR="00166F9E" w:rsidRDefault="00166F9E" w:rsidP="00016207">
      <w:pPr>
        <w:pStyle w:val="FootnoteText"/>
        <w:jc w:val="both"/>
      </w:pPr>
      <w:r>
        <w:rPr>
          <w:rStyle w:val="FootnoteReference"/>
        </w:rPr>
        <w:footnoteRef/>
      </w:r>
      <w:r>
        <w:t xml:space="preserve"> </w:t>
      </w:r>
      <w:r w:rsidRPr="006413F9">
        <w:t>Decree 138/2020/ND-CP, Article 73, clause 6.</w:t>
      </w:r>
    </w:p>
  </w:footnote>
  <w:footnote w:id="81">
    <w:p w14:paraId="5BBC1280" w14:textId="6A9289D4" w:rsidR="00166F9E" w:rsidRDefault="00166F9E" w:rsidP="00016207">
      <w:pPr>
        <w:pStyle w:val="FootnoteText"/>
        <w:jc w:val="both"/>
      </w:pPr>
      <w:r>
        <w:rPr>
          <w:rStyle w:val="FootnoteReference"/>
        </w:rPr>
        <w:footnoteRef/>
      </w:r>
      <w:r>
        <w:t xml:space="preserve"> I</w:t>
      </w:r>
      <w:r w:rsidRPr="00A055FF">
        <w:t xml:space="preserve">n some </w:t>
      </w:r>
      <w:r w:rsidR="00912D9E">
        <w:t>countries,</w:t>
      </w:r>
      <w:r w:rsidRPr="00A055FF">
        <w:t xml:space="preserve"> licensing officers are also subject to a higher salary scale than other civil servants in the public sector. This helps reduce opportunities for corruption. It also helps attract talent and create a cadre of professionals with expertise in their regulatory domain. In mature systems, licensing agencies maintain competitive salaries for licensing officers and incentive schemes (e.g., annual awards to high performers, promotions, certificates of competence, and opportunities for continuous professional education and development) to reward high performers and continuously develop their expertise.</w:t>
      </w:r>
      <w:r>
        <w:t xml:space="preserve"> Source: BLIMS</w:t>
      </w:r>
      <w:r w:rsidR="000825B3">
        <w:t>.</w:t>
      </w:r>
    </w:p>
  </w:footnote>
  <w:footnote w:id="82">
    <w:p w14:paraId="3B5FCF00" w14:textId="77777777" w:rsidR="002B6277" w:rsidRDefault="002B6277" w:rsidP="002B6277">
      <w:pPr>
        <w:pStyle w:val="FootnoteText"/>
      </w:pPr>
      <w:r>
        <w:rPr>
          <w:rStyle w:val="FootnoteReference"/>
        </w:rPr>
        <w:footnoteRef/>
      </w:r>
      <w:r>
        <w:t xml:space="preserve"> For example, the report for the 1</w:t>
      </w:r>
      <w:r w:rsidRPr="008779E8">
        <w:rPr>
          <w:vertAlign w:val="superscript"/>
        </w:rPr>
        <w:t>st</w:t>
      </w:r>
      <w:r>
        <w:t xml:space="preserve"> half of 2023 identified that the Ministries of Science and Technology and Ministry of Public security had submitted their plans to reduce/simplify regulations, other Ministries (</w:t>
      </w:r>
      <w:r w:rsidRPr="009D2772">
        <w:rPr>
          <w:color w:val="000000"/>
          <w:spacing w:val="-6"/>
        </w:rPr>
        <w:t>Industry and Trade, National Defense, Finance, Culture, Sports and Tourism</w:t>
      </w:r>
      <w:r>
        <w:rPr>
          <w:color w:val="000000"/>
          <w:spacing w:val="-6"/>
        </w:rPr>
        <w:t xml:space="preserve">) had not yet done so. </w:t>
      </w:r>
      <w:r>
        <w:t xml:space="preserve"> </w:t>
      </w:r>
    </w:p>
  </w:footnote>
  <w:footnote w:id="83">
    <w:p w14:paraId="7B508632" w14:textId="18F28605" w:rsidR="110D198D" w:rsidRDefault="110D198D" w:rsidP="00E309A6">
      <w:pPr>
        <w:spacing w:after="0"/>
      </w:pPr>
      <w:r w:rsidRPr="007B67F8">
        <w:rPr>
          <w:vertAlign w:val="superscript"/>
        </w:rPr>
        <w:footnoteRef/>
      </w:r>
      <w:r w:rsidRPr="007B67F8">
        <w:rPr>
          <w:vertAlign w:val="superscript"/>
        </w:rPr>
        <w:t xml:space="preserve"> </w:t>
      </w:r>
      <w:r w:rsidRPr="00F017A0">
        <w:rPr>
          <w:sz w:val="20"/>
          <w:szCs w:val="20"/>
        </w:rPr>
        <w:t>Government Resolution No. 01/NQ-CP on measures to achieve socio-economic development goals in 2024.</w:t>
      </w:r>
    </w:p>
  </w:footnote>
  <w:footnote w:id="84">
    <w:p w14:paraId="52EF1640" w14:textId="744B461A" w:rsidR="00976701" w:rsidRDefault="00976701" w:rsidP="00F017A0">
      <w:pPr>
        <w:pStyle w:val="FootnoteText"/>
      </w:pPr>
      <w:r>
        <w:rPr>
          <w:rStyle w:val="FootnoteReference"/>
        </w:rPr>
        <w:footnoteRef/>
      </w:r>
      <w:r>
        <w:t xml:space="preserve"> </w:t>
      </w:r>
      <w:r w:rsidR="00237187">
        <w:t xml:space="preserve">Prime Minister’s Decision No. </w:t>
      </w:r>
      <w:r w:rsidR="00505993" w:rsidRPr="00505993">
        <w:t>766/QD-TTg</w:t>
      </w:r>
      <w:r w:rsidR="00505993">
        <w:t>, of June 23, 2022.</w:t>
      </w:r>
    </w:p>
  </w:footnote>
  <w:footnote w:id="85">
    <w:p w14:paraId="7C30A196" w14:textId="61DB7994" w:rsidR="00916135" w:rsidRDefault="00916135">
      <w:pPr>
        <w:pStyle w:val="FootnoteText"/>
      </w:pPr>
      <w:r>
        <w:rPr>
          <w:rStyle w:val="FootnoteReference"/>
        </w:rPr>
        <w:footnoteRef/>
      </w:r>
      <w:r>
        <w:t xml:space="preserve"> The assessment can include ho</w:t>
      </w:r>
      <w:r w:rsidRPr="00916135">
        <w:t xml:space="preserve">w data for transactions that take place largely at the subnational level are being reported to APCA, how is the reported information </w:t>
      </w:r>
      <w:r>
        <w:t xml:space="preserve">is </w:t>
      </w:r>
      <w:r w:rsidRPr="00916135">
        <w:t xml:space="preserve">entered into APCA’s database, and whether this information is based on the subnational authorities’ own (manual) reporting, or if this data is automatically generated by the solutions IT systems at the subnational level. </w:t>
      </w:r>
      <w:r>
        <w:t>It could also cover</w:t>
      </w:r>
      <w:r w:rsidRPr="00916135">
        <w:t xml:space="preserve"> the tools available </w:t>
      </w:r>
      <w:r>
        <w:t>to</w:t>
      </w:r>
      <w:r w:rsidRPr="00916135">
        <w:t xml:space="preserve"> APCA in the context of its oversight role</w:t>
      </w:r>
      <w:r>
        <w:t>, such as</w:t>
      </w:r>
      <w:r w:rsidRPr="00916135">
        <w:t xml:space="preserve"> if APCA’s role is limited to collecting this data, or if it is also empowered to act in the case where the KPIs indicate weaknesses in regulatory delivery</w:t>
      </w:r>
      <w:r>
        <w:t>.</w:t>
      </w:r>
    </w:p>
  </w:footnote>
  <w:footnote w:id="86">
    <w:p w14:paraId="21E2470A" w14:textId="77257683" w:rsidR="00912DFB" w:rsidRDefault="00912DFB">
      <w:pPr>
        <w:pStyle w:val="FootnoteText"/>
      </w:pPr>
      <w:r>
        <w:rPr>
          <w:rStyle w:val="FootnoteReference"/>
        </w:rPr>
        <w:footnoteRef/>
      </w:r>
      <w:r>
        <w:t xml:space="preserve"> </w:t>
      </w:r>
      <w:r w:rsidRPr="00912DFB">
        <w:t xml:space="preserve">i) Starting a business, ii) Tax, iii) Investment, iv) Licenses, practice certificates, business conditions, v) Cross- border commercial </w:t>
      </w:r>
      <w:r w:rsidR="00124D72" w:rsidRPr="00912DFB">
        <w:t>transactions,</w:t>
      </w:r>
      <w:r w:rsidRPr="00912DFB">
        <w:t xml:space="preserve"> vi) Land, vii) Environment, viii) Construction, and ix) Specialized inspection</w:t>
      </w:r>
      <w:r>
        <w:t>s,</w:t>
      </w:r>
    </w:p>
  </w:footnote>
  <w:footnote w:id="87">
    <w:p w14:paraId="243E3D4A" w14:textId="77777777" w:rsidR="00384794" w:rsidRPr="005026D1" w:rsidRDefault="00384794" w:rsidP="00384794">
      <w:pPr>
        <w:pStyle w:val="FootnoteText"/>
        <w:rPr>
          <w:rFonts w:cstheme="minorHAnsi"/>
          <w:lang w:val="en-CA"/>
        </w:rPr>
      </w:pPr>
      <w:r w:rsidRPr="005026D1">
        <w:rPr>
          <w:rStyle w:val="FootnoteReference"/>
          <w:rFonts w:cstheme="minorHAnsi"/>
        </w:rPr>
        <w:footnoteRef/>
      </w:r>
      <w:r w:rsidRPr="005026D1">
        <w:rPr>
          <w:rFonts w:cstheme="minorHAnsi"/>
        </w:rPr>
        <w:t xml:space="preserve"> </w:t>
      </w:r>
      <w:r>
        <w:rPr>
          <w:rFonts w:cstheme="minorHAnsi"/>
        </w:rPr>
        <w:t xml:space="preserve">Based on the World Bank team review and a </w:t>
      </w:r>
      <w:r w:rsidRPr="007B67F8">
        <w:rPr>
          <w:rFonts w:cstheme="minorHAnsi"/>
        </w:rPr>
        <w:t>2022 World Bank Assessments of Users Experiencing Online Public Services.</w:t>
      </w:r>
    </w:p>
  </w:footnote>
  <w:footnote w:id="88">
    <w:p w14:paraId="4B7C4BAB" w14:textId="1981E863" w:rsidR="00723329" w:rsidRDefault="00723329">
      <w:pPr>
        <w:pStyle w:val="FootnoteText"/>
      </w:pPr>
      <w:r>
        <w:rPr>
          <w:rStyle w:val="FootnoteReference"/>
        </w:rPr>
        <w:footnoteRef/>
      </w:r>
      <w:r>
        <w:t xml:space="preserve"> </w:t>
      </w:r>
      <w:r w:rsidR="00101193">
        <w:t>PDF file, scanned documents</w:t>
      </w:r>
    </w:p>
  </w:footnote>
  <w:footnote w:id="89">
    <w:p w14:paraId="32263847" w14:textId="7EB35DA0" w:rsidR="0011300E" w:rsidRDefault="0011300E" w:rsidP="000A29D5">
      <w:pPr>
        <w:pStyle w:val="FootnoteText"/>
        <w:jc w:val="both"/>
      </w:pPr>
      <w:r>
        <w:rPr>
          <w:rStyle w:val="FootnoteReference"/>
        </w:rPr>
        <w:footnoteRef/>
      </w:r>
      <w:r>
        <w:t xml:space="preserve"> </w:t>
      </w:r>
      <w:r w:rsidRPr="0011300E">
        <w:t xml:space="preserve">A Resolution on the National Data Center Project was approved in October 2023 and introduced the concept of a government data warehouse. </w:t>
      </w:r>
      <w:r w:rsidR="008352EF">
        <w:t>In addition</w:t>
      </w:r>
      <w:r w:rsidRPr="0011300E">
        <w:t>, Viet Nam has enacted a Cybersecurity Law, and a Decree with additional details on the framework for cybersecurity.</w:t>
      </w:r>
    </w:p>
  </w:footnote>
  <w:footnote w:id="90">
    <w:p w14:paraId="48C5788D" w14:textId="56FC7708" w:rsidR="0011300E" w:rsidRDefault="0011300E" w:rsidP="000A29D5">
      <w:pPr>
        <w:pStyle w:val="FootnoteText"/>
        <w:jc w:val="both"/>
      </w:pPr>
      <w:r>
        <w:rPr>
          <w:rStyle w:val="FootnoteReference"/>
        </w:rPr>
        <w:footnoteRef/>
      </w:r>
      <w:r>
        <w:t xml:space="preserve"> </w:t>
      </w:r>
      <w:r w:rsidRPr="0011300E">
        <w:t>Although Article 4</w:t>
      </w:r>
      <w:r>
        <w:t xml:space="preserve"> of the Decree on Digital Administrative Procedures</w:t>
      </w:r>
      <w:r w:rsidRPr="0011300E">
        <w:t xml:space="preserve"> stipulates that “electronic administrative procedures and other forms of administrative procedures shall have the same legal value as per the law”, Article 3 implies that physical (paper) documents have a higher value in terms of legal validity compared to electronic documents, by referring to the concept of an “electronic copy” – instead of an “electronic version”.  This is not supportive of a data-driven approach to regulatory delivery, whereby (structured) data should be promoted over all other forms of data, where the electronic version should be treated as the original version, and where paper is fully eliminated both from input and output documents. Similarly, the Electronic Transactions Law refers to the legal validity of data messages and treats them as equal to the “original</w:t>
      </w:r>
      <w:r>
        <w:t>.”</w:t>
      </w:r>
    </w:p>
  </w:footnote>
  <w:footnote w:id="91">
    <w:p w14:paraId="35CFE145" w14:textId="77777777" w:rsidR="00F527EB" w:rsidRDefault="00F527EB" w:rsidP="000A29D5">
      <w:pPr>
        <w:pStyle w:val="FootnoteText"/>
        <w:jc w:val="both"/>
      </w:pPr>
      <w:r>
        <w:rPr>
          <w:rStyle w:val="FootnoteReference"/>
        </w:rPr>
        <w:footnoteRef/>
      </w:r>
      <w:r>
        <w:t xml:space="preserve"> </w:t>
      </w:r>
      <w:r w:rsidRPr="00BE2A61">
        <w:t xml:space="preserve">During a one-stop shop (OSS) visit, the </w:t>
      </w:r>
      <w:r>
        <w:t xml:space="preserve">World Bank </w:t>
      </w:r>
      <w:r w:rsidRPr="00BE2A61">
        <w:t>team observed staff transcribing the unstructured data into backend solutions.</w:t>
      </w:r>
    </w:p>
  </w:footnote>
  <w:footnote w:id="92">
    <w:p w14:paraId="4244CEE3" w14:textId="77777777" w:rsidR="00FE005F" w:rsidRDefault="00FE005F" w:rsidP="000A29D5">
      <w:pPr>
        <w:pStyle w:val="FootnoteText"/>
        <w:jc w:val="both"/>
      </w:pPr>
      <w:r>
        <w:rPr>
          <w:rStyle w:val="FootnoteReference"/>
        </w:rPr>
        <w:footnoteRef/>
      </w:r>
      <w:r>
        <w:t xml:space="preserve"> </w:t>
      </w:r>
      <w:r w:rsidRPr="001F1B5A">
        <w:t>The Once-Only Principle is an e-government concept that aims to ensure that citizens, institutions, and businesses provide data to public administration only once while public bodies exchange this data when requested and in compliance with the relevant regulations.</w:t>
      </w:r>
    </w:p>
  </w:footnote>
  <w:footnote w:id="93">
    <w:p w14:paraId="2F6DE223" w14:textId="77777777" w:rsidR="00333E91" w:rsidRDefault="00333E91" w:rsidP="000A29D5">
      <w:pPr>
        <w:pStyle w:val="FootnoteText"/>
        <w:jc w:val="both"/>
      </w:pPr>
      <w:r>
        <w:rPr>
          <w:rStyle w:val="FootnoteReference"/>
        </w:rPr>
        <w:footnoteRef/>
      </w:r>
      <w:r>
        <w:t xml:space="preserve"> It should be noted that outside the framework of Resolution 68, APCA has been implementing reform initiatives that focus on digitalizing and integrating services and the ratio of end-to-end online services is one of the KPIs adopted by GOV (Resolution 01/NQ-CP on solutions to achieve socio-economic development plan for 2024). </w:t>
      </w:r>
    </w:p>
  </w:footnote>
  <w:footnote w:id="94">
    <w:p w14:paraId="49357F97" w14:textId="5054A582" w:rsidR="006567A6" w:rsidRDefault="006567A6">
      <w:pPr>
        <w:pStyle w:val="FootnoteText"/>
      </w:pPr>
      <w:r>
        <w:rPr>
          <w:rStyle w:val="FootnoteReference"/>
        </w:rPr>
        <w:footnoteRef/>
      </w:r>
      <w:r>
        <w:t xml:space="preserve"> </w:t>
      </w:r>
      <w:r w:rsidRPr="006567A6">
        <w:t>Some noticeable areas repeatedly mentioned during consultations for this note were fire safety regulation, registration for road transport business, registration for land use rights, and licenses for tourism and accommodation businesses</w:t>
      </w:r>
      <w:r>
        <w:t>.</w:t>
      </w:r>
    </w:p>
  </w:footnote>
  <w:footnote w:id="95">
    <w:p w14:paraId="2409C94D" w14:textId="77777777" w:rsidR="00962358" w:rsidRDefault="00962358" w:rsidP="00962358">
      <w:pPr>
        <w:pStyle w:val="FootnoteText"/>
      </w:pPr>
      <w:r>
        <w:rPr>
          <w:rStyle w:val="FootnoteReference"/>
        </w:rPr>
        <w:footnoteRef/>
      </w:r>
      <w:r>
        <w:t xml:space="preserve"> It is likely that the list of legal texts amended did not include information on business regulations affected by the amendments in all cases. Information for other types of business regulations was not provided.</w:t>
      </w:r>
    </w:p>
  </w:footnote>
  <w:footnote w:id="96">
    <w:p w14:paraId="3C212AF7" w14:textId="46474A65" w:rsidR="00316868" w:rsidRDefault="00316868">
      <w:pPr>
        <w:pStyle w:val="FootnoteText"/>
      </w:pPr>
      <w:r>
        <w:rPr>
          <w:rStyle w:val="FootnoteReference"/>
        </w:rPr>
        <w:footnoteRef/>
      </w:r>
      <w:r>
        <w:t xml:space="preserve"> </w:t>
      </w:r>
      <w:r w:rsidR="00D1084C">
        <w:t>This could include reviewing the RIAs prepared for the legal text introducing these changes.</w:t>
      </w:r>
    </w:p>
  </w:footnote>
  <w:footnote w:id="97">
    <w:p w14:paraId="267C6465" w14:textId="77777777" w:rsidR="00962358" w:rsidRDefault="00962358" w:rsidP="00962358">
      <w:pPr>
        <w:pStyle w:val="FootnoteText"/>
      </w:pPr>
      <w:r>
        <w:rPr>
          <w:rStyle w:val="FootnoteReference"/>
        </w:rPr>
        <w:footnoteRef/>
      </w:r>
      <w:r>
        <w:t xml:space="preserve"> Renda, Andrea (2017).</w:t>
      </w:r>
    </w:p>
  </w:footnote>
  <w:footnote w:id="98">
    <w:p w14:paraId="7123930A" w14:textId="77777777" w:rsidR="00E97C57" w:rsidRDefault="00E97C57" w:rsidP="00E97C57">
      <w:pPr>
        <w:pStyle w:val="FootnoteText"/>
      </w:pPr>
      <w:r>
        <w:rPr>
          <w:rStyle w:val="FootnoteReference"/>
        </w:rPr>
        <w:footnoteRef/>
      </w:r>
      <w:r>
        <w:t xml:space="preserve"> It is unclear if this information is currently collected by the system.</w:t>
      </w:r>
    </w:p>
  </w:footnote>
  <w:footnote w:id="99">
    <w:p w14:paraId="2A2483AB" w14:textId="6E427D63" w:rsidR="00083533" w:rsidRDefault="00083533">
      <w:pPr>
        <w:pStyle w:val="FootnoteText"/>
      </w:pPr>
      <w:r>
        <w:rPr>
          <w:rStyle w:val="FootnoteReference"/>
        </w:rPr>
        <w:footnoteRef/>
      </w:r>
      <w:r>
        <w:t xml:space="preserve"> Recommendations on </w:t>
      </w:r>
      <w:r w:rsidR="00EE3CF1">
        <w:t>developing the eGIF are beyond the scope of this report</w:t>
      </w:r>
      <w:r w:rsidR="00A65063">
        <w:t xml:space="preserve"> but </w:t>
      </w:r>
      <w:r w:rsidR="002411D5">
        <w:t>they are covered in our BLIMS assessment</w:t>
      </w:r>
      <w:r w:rsidR="00EE3CF1">
        <w:t>.</w:t>
      </w:r>
    </w:p>
  </w:footnote>
  <w:footnote w:id="100">
    <w:p w14:paraId="63AB31C2" w14:textId="6D88CC4D" w:rsidR="001E427D" w:rsidRPr="005026D1" w:rsidRDefault="001E427D" w:rsidP="001E427D">
      <w:pPr>
        <w:pStyle w:val="FootnoteText"/>
        <w:jc w:val="both"/>
        <w:rPr>
          <w:rFonts w:cstheme="minorHAnsi"/>
        </w:rPr>
      </w:pPr>
      <w:r w:rsidRPr="005026D1">
        <w:rPr>
          <w:rStyle w:val="FootnoteReference"/>
          <w:rFonts w:cstheme="minorHAnsi"/>
        </w:rPr>
        <w:footnoteRef/>
      </w:r>
      <w:r w:rsidRPr="005026D1">
        <w:rPr>
          <w:rFonts w:cstheme="minorHAnsi"/>
        </w:rPr>
        <w:t xml:space="preserve"> </w:t>
      </w:r>
      <w:bookmarkStart w:id="27" w:name="_Hlk164263217"/>
      <w:r w:rsidRPr="005026D1">
        <w:rPr>
          <w:rFonts w:cstheme="minorHAnsi"/>
        </w:rPr>
        <w:t xml:space="preserve">European Commission - Directorate-General for Communications Networks. 2022. eGovernment Benchmark, Synchronizing digital governments: insight report, Publications Office of the European Union. </w:t>
      </w:r>
      <w:bookmarkEnd w:id="27"/>
      <w:r w:rsidR="00863084" w:rsidRPr="003A293B">
        <w:rPr>
          <w:rFonts w:cstheme="minorHAnsi"/>
        </w:rPr>
        <w:fldChar w:fldCharType="begin"/>
      </w:r>
      <w:r w:rsidR="00863084" w:rsidRPr="003A293B">
        <w:rPr>
          <w:rFonts w:cstheme="minorHAnsi"/>
        </w:rPr>
        <w:instrText>HYPERLINK "https://data.europa.eu/doi/10.2759/488218" \t "_blank"</w:instrText>
      </w:r>
      <w:r w:rsidR="00863084" w:rsidRPr="003A293B">
        <w:rPr>
          <w:rFonts w:cstheme="minorHAnsi"/>
        </w:rPr>
        <w:fldChar w:fldCharType="separate"/>
      </w:r>
      <w:r w:rsidR="00863084" w:rsidRPr="00925C0B">
        <w:rPr>
          <w:rStyle w:val="Hyperlink"/>
          <w:rFonts w:cstheme="minorHAnsi"/>
          <w:color w:val="0E47CB"/>
          <w:shd w:val="clear" w:color="auto" w:fill="FFFFFF"/>
        </w:rPr>
        <w:t>https://data.europa.eu/doi/10.2759/488218</w:t>
      </w:r>
      <w:r w:rsidR="00863084" w:rsidRPr="003A293B">
        <w:rPr>
          <w:rFonts w:cstheme="minorHAnsi"/>
        </w:rPr>
        <w:fldChar w:fldCharType="end"/>
      </w:r>
      <w:r w:rsidR="00863084" w:rsidRPr="003A293B">
        <w:rPr>
          <w:rFonts w:cstheme="minorHAnsi"/>
        </w:rPr>
        <w:t xml:space="preserve"> </w:t>
      </w:r>
    </w:p>
  </w:footnote>
  <w:footnote w:id="101">
    <w:p w14:paraId="389FEFFB" w14:textId="26286DE8" w:rsidR="00637B86" w:rsidRDefault="00637B86">
      <w:pPr>
        <w:pStyle w:val="FootnoteText"/>
      </w:pPr>
      <w:r>
        <w:rPr>
          <w:rStyle w:val="FootnoteReference"/>
        </w:rPr>
        <w:footnoteRef/>
      </w:r>
      <w:r>
        <w:t xml:space="preserve"> OECD</w:t>
      </w:r>
      <w:r w:rsidR="00C730A0">
        <w:t xml:space="preserve">. 2021. </w:t>
      </w:r>
      <w:r w:rsidR="0081400E">
        <w:t>Risk-based regulation (chapter 6). In “</w:t>
      </w:r>
      <w:r w:rsidR="00C730A0">
        <w:t>OECD Regulatory Policy Outlook 2021</w:t>
      </w:r>
      <w:r w:rsidR="0081400E">
        <w:t>”. OECD Publishing</w:t>
      </w:r>
      <w:r w:rsidR="00AF22B4">
        <w:t xml:space="preserve">. Paris, </w:t>
      </w:r>
      <w:hyperlink r:id="rId7" w:history="1">
        <w:r w:rsidR="007B3CD5" w:rsidRPr="00B87A6F">
          <w:rPr>
            <w:rStyle w:val="Hyperlink"/>
          </w:rPr>
          <w:t>https://doi.org/10.1787/38b0fdb1-en</w:t>
        </w:r>
      </w:hyperlink>
      <w:r w:rsidR="007B3CD5" w:rsidRPr="007B3CD5">
        <w:t>.</w:t>
      </w:r>
    </w:p>
  </w:footnote>
  <w:footnote w:id="102">
    <w:p w14:paraId="7FD7C948" w14:textId="30E7D5AA" w:rsidR="00910A12" w:rsidRDefault="00910A12">
      <w:pPr>
        <w:pStyle w:val="FootnoteText"/>
      </w:pPr>
      <w:r>
        <w:rPr>
          <w:rStyle w:val="FootnoteReference"/>
        </w:rPr>
        <w:footnoteRef/>
      </w:r>
      <w:r>
        <w:t xml:space="preserve"> </w:t>
      </w:r>
      <w:r w:rsidRPr="005026D1">
        <w:rPr>
          <w:rFonts w:cstheme="minorHAnsi"/>
        </w:rPr>
        <w:t xml:space="preserve">The list includes low risk activities </w:t>
      </w:r>
      <w:r w:rsidR="00404E78">
        <w:rPr>
          <w:rFonts w:cstheme="minorHAnsi"/>
        </w:rPr>
        <w:t xml:space="preserve">in other countries, </w:t>
      </w:r>
      <w:r w:rsidRPr="005026D1">
        <w:rPr>
          <w:rFonts w:cstheme="minorHAnsi"/>
        </w:rPr>
        <w:t>such as “e-commerce activities”, “overseas study consultancy services”, “travel services”</w:t>
      </w:r>
      <w:r w:rsidR="00DE5379">
        <w:rPr>
          <w:rFonts w:cstheme="minorHAnsi"/>
        </w:rPr>
        <w:t xml:space="preserve"> etc.</w:t>
      </w:r>
    </w:p>
  </w:footnote>
  <w:footnote w:id="103">
    <w:p w14:paraId="259CE7C3" w14:textId="3412A068" w:rsidR="00ED14E1" w:rsidRDefault="00ED14E1" w:rsidP="00ED14E1">
      <w:pPr>
        <w:pStyle w:val="FootnoteText"/>
        <w:rPr>
          <w:rFonts w:eastAsiaTheme="minorEastAsia"/>
        </w:rPr>
      </w:pPr>
      <w:r w:rsidRPr="4DA8FE4C">
        <w:rPr>
          <w:rStyle w:val="FootnoteReference"/>
        </w:rPr>
        <w:footnoteRef/>
      </w:r>
      <w:r w:rsidR="4DA8FE4C" w:rsidRPr="4DA8FE4C">
        <w:t xml:space="preserve"> </w:t>
      </w:r>
      <w:r w:rsidR="00483D06" w:rsidRPr="00483D06">
        <w:t>The Administrative License Law of the People's Republic of China</w:t>
      </w:r>
      <w:r w:rsidR="00483D06">
        <w:t xml:space="preserve">. </w:t>
      </w:r>
      <w:r w:rsidR="4DA8FE4C" w:rsidRPr="4DA8FE4C">
        <w:t xml:space="preserve">Available at: </w:t>
      </w:r>
      <w:r w:rsidR="00F27049" w:rsidRPr="00F27049">
        <w:rPr>
          <w:rStyle w:val="Hyperlink"/>
        </w:rPr>
        <w:t>https://www.cecc.gov/resources/legal-provisions/administrative-licensing-law-chinese-and-english-text</w:t>
      </w:r>
    </w:p>
  </w:footnote>
  <w:footnote w:id="104">
    <w:p w14:paraId="2214A2F4" w14:textId="2E93255E" w:rsidR="00ED14E1" w:rsidRDefault="00ED14E1" w:rsidP="00ED14E1">
      <w:pPr>
        <w:pStyle w:val="FootnoteText"/>
      </w:pPr>
      <w:r w:rsidRPr="4DA8FE4C">
        <w:rPr>
          <w:rStyle w:val="FootnoteReference"/>
        </w:rPr>
        <w:footnoteRef/>
      </w:r>
      <w:r w:rsidR="4DA8FE4C" w:rsidRPr="4DA8FE4C">
        <w:t xml:space="preserve"> Available at:</w:t>
      </w:r>
      <w:r w:rsidR="00A52FC3">
        <w:t xml:space="preserve"> </w:t>
      </w:r>
      <w:r w:rsidR="00A52FC3" w:rsidRPr="00A52FC3">
        <w:rPr>
          <w:rStyle w:val="Hyperlink"/>
        </w:rPr>
        <w:t>http://www.gncc.ge/files/7050_6827_449892_licese%20of%20georgia.pdf</w:t>
      </w:r>
    </w:p>
  </w:footnote>
  <w:footnote w:id="105">
    <w:p w14:paraId="3C516741" w14:textId="5E0D56A5" w:rsidR="00ED14E1" w:rsidRDefault="00ED14E1" w:rsidP="00ED14E1">
      <w:pPr>
        <w:pStyle w:val="FootnoteText"/>
      </w:pPr>
      <w:r w:rsidRPr="4DA8FE4C">
        <w:rPr>
          <w:rStyle w:val="FootnoteReference"/>
        </w:rPr>
        <w:footnoteRef/>
      </w:r>
      <w:r w:rsidR="4DA8FE4C" w:rsidRPr="4DA8FE4C">
        <w:t xml:space="preserve"> Available at: </w:t>
      </w:r>
      <w:hyperlink r:id="rId8" w:history="1">
        <w:r w:rsidR="00FD790A" w:rsidRPr="00200A61">
          <w:rPr>
            <w:rStyle w:val="Hyperlink"/>
          </w:rPr>
          <w:t>http://www.publicrevenue.gr/elib/view?d=/gr/act/2016/4442/</w:t>
        </w:r>
      </w:hyperlink>
      <w:r w:rsidR="00FD790A">
        <w:t xml:space="preserve"> </w:t>
      </w:r>
    </w:p>
  </w:footnote>
  <w:footnote w:id="106">
    <w:p w14:paraId="71C5B6B0" w14:textId="40C1ED6E" w:rsidR="00ED14E1" w:rsidRDefault="00ED14E1" w:rsidP="00ED14E1">
      <w:pPr>
        <w:pStyle w:val="FootnoteText"/>
      </w:pPr>
      <w:r w:rsidRPr="4DA8FE4C">
        <w:rPr>
          <w:rStyle w:val="FootnoteReference"/>
        </w:rPr>
        <w:footnoteRef/>
      </w:r>
      <w:r w:rsidR="4DA8FE4C" w:rsidRPr="4DA8FE4C">
        <w:t xml:space="preserve"> Available at: </w:t>
      </w:r>
      <w:r w:rsidR="00FD790A" w:rsidRPr="00FD790A">
        <w:rPr>
          <w:rStyle w:val="Hyperlink"/>
        </w:rPr>
        <w:t>https://online.zakon.kz/Document/?doc_id=31548200</w:t>
      </w:r>
    </w:p>
  </w:footnote>
  <w:footnote w:id="107">
    <w:p w14:paraId="62007768" w14:textId="6ABE679B" w:rsidR="00ED14E1" w:rsidRDefault="00ED14E1" w:rsidP="00ED14E1">
      <w:pPr>
        <w:pStyle w:val="FootnoteText"/>
      </w:pPr>
      <w:r w:rsidRPr="4DA8FE4C">
        <w:rPr>
          <w:rStyle w:val="FootnoteReference"/>
        </w:rPr>
        <w:footnoteRef/>
      </w:r>
      <w:r w:rsidR="4DA8FE4C" w:rsidRPr="4DA8FE4C">
        <w:t xml:space="preserve"> Available at: </w:t>
      </w:r>
      <w:r w:rsidR="00D853D5" w:rsidRPr="00D853D5">
        <w:rPr>
          <w:rStyle w:val="Hyperlink"/>
        </w:rPr>
        <w:t>https://investmongolia.wordpress.com/category/law-on-licensing/</w:t>
      </w:r>
    </w:p>
  </w:footnote>
  <w:footnote w:id="108">
    <w:p w14:paraId="57421A14" w14:textId="25998C90" w:rsidR="00ED14E1" w:rsidRDefault="00ED14E1" w:rsidP="00ED14E1">
      <w:pPr>
        <w:pStyle w:val="FootnoteText"/>
      </w:pPr>
      <w:r w:rsidRPr="4DA8FE4C">
        <w:rPr>
          <w:rStyle w:val="FootnoteReference"/>
        </w:rPr>
        <w:footnoteRef/>
      </w:r>
      <w:r w:rsidR="4DA8FE4C" w:rsidRPr="4DA8FE4C">
        <w:t xml:space="preserve"> </w:t>
      </w:r>
      <w:r w:rsidR="006F4F74">
        <w:t xml:space="preserve">Law of Ukraine </w:t>
      </w:r>
      <w:r w:rsidR="00243836">
        <w:t>on</w:t>
      </w:r>
      <w:r w:rsidR="006F4F74">
        <w:t xml:space="preserve"> Licensing of Economic Activities. </w:t>
      </w:r>
      <w:r w:rsidR="4DA8FE4C" w:rsidRPr="4DA8FE4C">
        <w:t xml:space="preserve">Available at: </w:t>
      </w:r>
      <w:r w:rsidR="00031CEA" w:rsidRPr="00031CEA">
        <w:rPr>
          <w:rStyle w:val="Hyperlink"/>
        </w:rPr>
        <w:t>https://zakon.rada.gov.ua/laws/show/222-19?lang=en#Text</w:t>
      </w:r>
    </w:p>
  </w:footnote>
  <w:footnote w:id="109">
    <w:p w14:paraId="0813683D" w14:textId="06111F9A" w:rsidR="00ED14E1" w:rsidRDefault="00ED14E1" w:rsidP="00ED14E1">
      <w:pPr>
        <w:pStyle w:val="FootnoteText"/>
      </w:pPr>
      <w:r w:rsidRPr="4DA8FE4C">
        <w:rPr>
          <w:rStyle w:val="FootnoteReference"/>
        </w:rPr>
        <w:footnoteRef/>
      </w:r>
      <w:r w:rsidR="4DA8FE4C" w:rsidRPr="4DA8FE4C">
        <w:t xml:space="preserve"> </w:t>
      </w:r>
      <w:r w:rsidR="005B4FB2">
        <w:t xml:space="preserve">Russian </w:t>
      </w:r>
      <w:r w:rsidR="005B4FB2" w:rsidRPr="005B4FB2">
        <w:t xml:space="preserve">Federal Law of May 4, </w:t>
      </w:r>
      <w:r w:rsidR="004B58BD" w:rsidRPr="005B4FB2">
        <w:t>2011,</w:t>
      </w:r>
      <w:r w:rsidR="005B4FB2" w:rsidRPr="005B4FB2">
        <w:t xml:space="preserve"> N 99-FZ (as amended on December 25, 2023) “On licensing of certain types of activities”</w:t>
      </w:r>
      <w:r w:rsidR="005B4FB2">
        <w:t xml:space="preserve">. </w:t>
      </w:r>
      <w:r w:rsidR="4DA8FE4C" w:rsidRPr="4DA8FE4C">
        <w:t>Available at:</w:t>
      </w:r>
      <w:r w:rsidR="00243836">
        <w:rPr>
          <w:rStyle w:val="Hyperlink"/>
        </w:rPr>
        <w:t xml:space="preserve"> </w:t>
      </w:r>
      <w:r w:rsidR="00243836" w:rsidRPr="00243836">
        <w:rPr>
          <w:rStyle w:val="Hyperlink"/>
        </w:rPr>
        <w:t>https://legalacts.ru/doc/99_FZ-o-licenzirovanii-otdelnyh-vidov-dejatelnosti/</w:t>
      </w:r>
    </w:p>
  </w:footnote>
  <w:footnote w:id="110">
    <w:p w14:paraId="3A3836C1" w14:textId="1D5D6CD2" w:rsidR="00634EBC" w:rsidRPr="00634EBC" w:rsidRDefault="00634EBC" w:rsidP="00634EBC">
      <w:pPr>
        <w:pStyle w:val="FootnoteText"/>
        <w:rPr>
          <w:rFonts w:cs="Calibri"/>
          <w:lang w:val="en-CA"/>
        </w:rPr>
      </w:pPr>
      <w:r>
        <w:rPr>
          <w:rStyle w:val="FootnoteReference"/>
        </w:rPr>
        <w:footnoteRef/>
      </w:r>
      <w:r w:rsidRPr="00634EBC">
        <w:rPr>
          <w:rFonts w:cs="Calibri"/>
        </w:rPr>
        <w:t xml:space="preserve"> </w:t>
      </w:r>
      <w:r w:rsidRPr="00634EBC">
        <w:rPr>
          <w:rFonts w:cs="Calibri"/>
          <w:lang w:val="en-CA"/>
        </w:rPr>
        <w:t>Vranic, Goran</w:t>
      </w:r>
      <w:r w:rsidR="001C049A">
        <w:rPr>
          <w:rFonts w:cs="Calibri"/>
          <w:lang w:val="en-CA"/>
        </w:rPr>
        <w:t xml:space="preserve"> (</w:t>
      </w:r>
      <w:r w:rsidR="00BF16BD">
        <w:rPr>
          <w:rFonts w:cs="Calibri"/>
          <w:lang w:val="en-CA"/>
        </w:rPr>
        <w:t>2022)</w:t>
      </w:r>
      <w:r w:rsidR="00EC0D8D">
        <w:rPr>
          <w:rFonts w:cs="Calibri"/>
          <w:lang w:val="en-CA"/>
        </w:rPr>
        <w:t xml:space="preserve"> explains how to automate </w:t>
      </w:r>
      <w:r w:rsidR="005A6D20">
        <w:rPr>
          <w:rFonts w:cs="Calibri"/>
          <w:lang w:val="en-CA"/>
        </w:rPr>
        <w:t xml:space="preserve">the catalogue of administrative procedures </w:t>
      </w:r>
      <w:r w:rsidR="003F23E9">
        <w:rPr>
          <w:rFonts w:cs="Calibri"/>
          <w:lang w:val="en-CA"/>
        </w:rPr>
        <w:t>in</w:t>
      </w:r>
      <w:r w:rsidR="005A6D20">
        <w:rPr>
          <w:rFonts w:cs="Calibri"/>
          <w:lang w:val="en-CA"/>
        </w:rPr>
        <w:t xml:space="preserve"> Croatia</w:t>
      </w:r>
      <w:r w:rsidR="003F23E9">
        <w:rPr>
          <w:rFonts w:cs="Calibri"/>
          <w:lang w:val="en-CA"/>
        </w:rPr>
        <w:t xml:space="preserve"> using AI tools</w:t>
      </w:r>
      <w:r w:rsidRPr="00634EBC">
        <w:rPr>
          <w:rFonts w:cs="Calibri"/>
          <w:lang w:val="en-CA"/>
        </w:rPr>
        <w:t xml:space="preserve">. </w:t>
      </w:r>
    </w:p>
  </w:footnote>
  <w:footnote w:id="111">
    <w:p w14:paraId="49FCF1DB" w14:textId="6FEF34BB" w:rsidR="00103BF2" w:rsidRDefault="00103BF2">
      <w:pPr>
        <w:pStyle w:val="FootnoteText"/>
      </w:pPr>
      <w:r>
        <w:rPr>
          <w:rStyle w:val="FootnoteReference"/>
        </w:rPr>
        <w:footnoteRef/>
      </w:r>
      <w:r>
        <w:t xml:space="preserve"> The BLIMS assessment provides more details and pre-requisites for this system to function. </w:t>
      </w:r>
    </w:p>
  </w:footnote>
  <w:footnote w:id="112">
    <w:p w14:paraId="7C7FF3AA" w14:textId="172B5B71" w:rsidR="00BC2A6A" w:rsidRPr="00634EBC" w:rsidRDefault="00BC2A6A" w:rsidP="00BC2A6A">
      <w:pPr>
        <w:pStyle w:val="FootnoteText"/>
        <w:rPr>
          <w:rFonts w:cs="Calibri"/>
          <w:lang w:val="en-CA"/>
        </w:rPr>
      </w:pPr>
      <w:r w:rsidRPr="00634EBC">
        <w:rPr>
          <w:rStyle w:val="FootnoteReference"/>
          <w:rFonts w:cs="Calibri"/>
        </w:rPr>
        <w:footnoteRef/>
      </w:r>
      <w:r w:rsidRPr="00634EBC">
        <w:rPr>
          <w:rFonts w:cs="Calibri"/>
        </w:rPr>
        <w:t xml:space="preserve"> The </w:t>
      </w:r>
      <w:r w:rsidRPr="00634EBC">
        <w:rPr>
          <w:rFonts w:cs="Calibri"/>
          <w:lang w:val="en-CA"/>
        </w:rPr>
        <w:t xml:space="preserve">OASIS LegalDocML standard is the future machine-readable structured format for the exchange of legal documents that is based on XML, and more specifically on Akoma Ntoso, and should serve as the specification for all future exchanges of legal documents. More information is available </w:t>
      </w:r>
      <w:r w:rsidR="00C71E30">
        <w:rPr>
          <w:rFonts w:cs="Calibri"/>
          <w:lang w:val="en-CA"/>
        </w:rPr>
        <w:t xml:space="preserve">at </w:t>
      </w:r>
      <w:hyperlink r:id="rId9" w:history="1">
        <w:r w:rsidR="00C71E30" w:rsidRPr="00200A61">
          <w:rPr>
            <w:rStyle w:val="Hyperlink"/>
            <w:rFonts w:cs="Calibri"/>
            <w:lang w:val="en-CA"/>
          </w:rPr>
          <w:t>https://groups.oasis-open.org/communities/tc-community-home2?CommunityKey=3425f20f-b704-4076-9fab-018dc7d3efbe</w:t>
        </w:r>
      </w:hyperlink>
      <w:r w:rsidR="00C71E30">
        <w:rPr>
          <w:rFonts w:cs="Calibri"/>
          <w:lang w:val="en-CA"/>
        </w:rPr>
        <w:t>.</w:t>
      </w:r>
    </w:p>
  </w:footnote>
  <w:footnote w:id="113">
    <w:p w14:paraId="5FE03846" w14:textId="6E067935" w:rsidR="00634EBC" w:rsidRPr="00634EBC" w:rsidRDefault="00634EBC" w:rsidP="00634EBC">
      <w:pPr>
        <w:pStyle w:val="FootnoteText"/>
        <w:rPr>
          <w:rFonts w:cs="Calibri"/>
          <w:lang w:val="en-CA"/>
        </w:rPr>
      </w:pPr>
      <w:r w:rsidRPr="00634EBC">
        <w:rPr>
          <w:rStyle w:val="FootnoteReference"/>
          <w:rFonts w:cs="Calibri"/>
        </w:rPr>
        <w:footnoteRef/>
      </w:r>
      <w:r w:rsidRPr="00634EBC">
        <w:rPr>
          <w:rFonts w:cs="Calibri"/>
        </w:rPr>
        <w:t xml:space="preserve"> Content design: planning, writing, and managing content</w:t>
      </w:r>
      <w:r w:rsidR="00105FC3">
        <w:rPr>
          <w:rFonts w:cs="Calibri"/>
        </w:rPr>
        <w:t xml:space="preserve">, available at </w:t>
      </w:r>
      <w:hyperlink r:id="rId10" w:history="1">
        <w:r w:rsidR="00105FC3" w:rsidRPr="00200A61">
          <w:rPr>
            <w:rStyle w:val="Hyperlink"/>
            <w:rFonts w:cs="Calibri"/>
          </w:rPr>
          <w:t>https://www.gov.uk/guidance/content-design/writing-for-gov-uk</w:t>
        </w:r>
      </w:hyperlink>
      <w:r w:rsidR="00105FC3">
        <w:rPr>
          <w:rFonts w:cs="Calibri"/>
        </w:rPr>
        <w:t xml:space="preserve">. </w:t>
      </w:r>
    </w:p>
  </w:footnote>
  <w:footnote w:id="114">
    <w:p w14:paraId="1751287E" w14:textId="2815DB9A" w:rsidR="007542C4" w:rsidRPr="00634EBC" w:rsidRDefault="007542C4" w:rsidP="007542C4">
      <w:pPr>
        <w:pStyle w:val="FootnoteText"/>
        <w:rPr>
          <w:rFonts w:cs="Calibri"/>
          <w:lang w:val="en-CA"/>
        </w:rPr>
      </w:pPr>
      <w:r w:rsidRPr="00634EBC">
        <w:rPr>
          <w:rStyle w:val="FootnoteReference"/>
          <w:rFonts w:cs="Calibri"/>
        </w:rPr>
        <w:footnoteRef/>
      </w:r>
      <w:r w:rsidRPr="00634EBC">
        <w:rPr>
          <w:rFonts w:cs="Calibri"/>
        </w:rPr>
        <w:t xml:space="preserve"> W3C Accessibility Standards Overview</w:t>
      </w:r>
      <w:r w:rsidR="000366CE">
        <w:rPr>
          <w:rFonts w:cs="Calibri"/>
        </w:rPr>
        <w:t xml:space="preserve">, available at </w:t>
      </w:r>
      <w:hyperlink r:id="rId11" w:history="1">
        <w:r w:rsidR="000366CE" w:rsidRPr="00200A61">
          <w:rPr>
            <w:rStyle w:val="Hyperlink"/>
            <w:rFonts w:cs="Calibri"/>
          </w:rPr>
          <w:t>https://www.w3.org/WAI/standards-guidelines/</w:t>
        </w:r>
      </w:hyperlink>
      <w:r w:rsidR="000366CE">
        <w:rPr>
          <w:rFonts w:cs="Calibri"/>
        </w:rPr>
        <w:t xml:space="preserve">. </w:t>
      </w:r>
    </w:p>
  </w:footnote>
  <w:footnote w:id="115">
    <w:p w14:paraId="4309FF17" w14:textId="77777777" w:rsidR="00AD0915" w:rsidRPr="005026D1" w:rsidRDefault="00AD0915" w:rsidP="00AD0915">
      <w:pPr>
        <w:pStyle w:val="FootnoteText"/>
        <w:rPr>
          <w:rFonts w:cstheme="minorHAnsi"/>
        </w:rPr>
      </w:pPr>
      <w:r w:rsidRPr="005026D1">
        <w:rPr>
          <w:rStyle w:val="FootnoteReference"/>
          <w:rFonts w:cstheme="minorHAnsi"/>
        </w:rPr>
        <w:footnoteRef/>
      </w:r>
      <w:r w:rsidRPr="005026D1">
        <w:rPr>
          <w:rFonts w:cstheme="minorHAnsi"/>
        </w:rPr>
        <w:t xml:space="preserve"> Formerly known as the Better Regulation Delivery Office and the Regulatory Delivery Office.</w:t>
      </w:r>
    </w:p>
  </w:footnote>
</w:footnotes>
</file>

<file path=word/intelligence2.xml><?xml version="1.0" encoding="utf-8"?>
<int2:intelligence xmlns:int2="http://schemas.microsoft.com/office/intelligence/2020/intelligence" xmlns:oel="http://schemas.microsoft.com/office/2019/extlst">
  <int2:observations>
    <int2:textHash int2:hashCode="LR37lu7pP/qL2r" int2:id="12mlPyVj">
      <int2:state int2:value="Rejected" int2:type="AugLoop_Text_Critique"/>
    </int2:textHash>
    <int2:textHash int2:hashCode="EM9BczxZkrRexK" int2:id="1v1DRGWC">
      <int2:state int2:value="Rejected" int2:type="AugLoop_Text_Critique"/>
    </int2:textHash>
    <int2:textHash int2:hashCode="r6eCOybkT05Z6S" int2:id="46Bd65Wd">
      <int2:state int2:value="Rejected" int2:type="AugLoop_Text_Critique"/>
    </int2:textHash>
    <int2:textHash int2:hashCode="Q7TVZ0280ARr2y" int2:id="6ZJ8dDzi">
      <int2:state int2:value="Rejected" int2:type="AugLoop_Text_Critique"/>
    </int2:textHash>
    <int2:textHash int2:hashCode="JIC1s7iK2vGW3C" int2:id="8GND7ReF">
      <int2:state int2:value="Rejected" int2:type="AugLoop_Text_Critique"/>
    </int2:textHash>
    <int2:textHash int2:hashCode="XmV8eDomsvBSqV" int2:id="AKLeBZWh">
      <int2:state int2:value="Rejected" int2:type="AugLoop_Text_Critique"/>
    </int2:textHash>
    <int2:textHash int2:hashCode="s961JEEdKbb7OL" int2:id="CGtsm9oq">
      <int2:state int2:value="Rejected" int2:type="AugLoop_Text_Critique"/>
    </int2:textHash>
    <int2:textHash int2:hashCode="laaxdIZjZ66y74" int2:id="CzKr4kzU">
      <int2:state int2:value="Rejected" int2:type="AugLoop_Text_Critique"/>
    </int2:textHash>
    <int2:textHash int2:hashCode="usVE9Gcmgd8PB8" int2:id="DkAXAsZh">
      <int2:state int2:value="Rejected" int2:type="AugLoop_Text_Critique"/>
    </int2:textHash>
    <int2:textHash int2:hashCode="TmBmjYpmljQJfH" int2:id="Hyw08AML">
      <int2:state int2:value="Rejected" int2:type="AugLoop_Text_Critique"/>
    </int2:textHash>
    <int2:textHash int2:hashCode="BC3EUS+j05HFFw" int2:id="PZAnED6a">
      <int2:state int2:value="Rejected" int2:type="AugLoop_Text_Critique"/>
    </int2:textHash>
    <int2:textHash int2:hashCode="/0V3fkv0fOvHqa" int2:id="UWW7AerP">
      <int2:state int2:value="Rejected" int2:type="AugLoop_Text_Critique"/>
    </int2:textHash>
    <int2:textHash int2:hashCode="SNMO88nAb8K1WN" int2:id="fMIselHs">
      <int2:state int2:value="Rejected" int2:type="AugLoop_Text_Critique"/>
    </int2:textHash>
    <int2:textHash int2:hashCode="70LxJiak76rzLM" int2:id="gnkqJZa2">
      <int2:state int2:value="Rejected" int2:type="AugLoop_Text_Critique"/>
    </int2:textHash>
    <int2:textHash int2:hashCode="Hs5xWHAu3TKjop" int2:id="lneMo9Bk">
      <int2:state int2:value="Rejected" int2:type="AugLoop_Text_Critique"/>
    </int2:textHash>
    <int2:textHash int2:hashCode="TwA7SaKQb/bxeO" int2:id="mOhbnv8C">
      <int2:state int2:value="Rejected" int2:type="AugLoop_Text_Critique"/>
    </int2:textHash>
    <int2:textHash int2:hashCode="ox/9LEst/T7sT7" int2:id="mOqENRj5">
      <int2:state int2:value="Rejected" int2:type="AugLoop_Text_Critique"/>
    </int2:textHash>
    <int2:bookmark int2:bookmarkName="_Int_PWVNwgHs" int2:invalidationBookmarkName="" int2:hashCode="MkrR6+K4AJt8AQ" int2:id="6N8prJUf">
      <int2:state int2:value="Rejected" int2:type="AugLoop_Text_Critique"/>
    </int2:bookmark>
    <int2:bookmark int2:bookmarkName="_Int_gvQKnWP7" int2:invalidationBookmarkName="" int2:hashCode="3vTuQ95ZKZPlIN" int2:id="8TgG4dwK">
      <int2:state int2:value="Rejected" int2:type="AugLoop_Text_Critique"/>
    </int2:bookmark>
    <int2:bookmark int2:bookmarkName="_Int_qMaB1NRZ" int2:invalidationBookmarkName="" int2:hashCode="/WQcmmVMnkclJu" int2:id="92x00m50">
      <int2:state int2:value="Rejected" int2:type="AugLoop_Text_Critique"/>
    </int2:bookmark>
    <int2:bookmark int2:bookmarkName="_Int_3gKiUKzp" int2:invalidationBookmarkName="" int2:hashCode="cLEgebQ4WBmpBL" int2:id="Nyg08cMa">
      <int2:state int2:value="Rejected" int2:type="AugLoop_Text_Critique"/>
    </int2:bookmark>
    <int2:bookmark int2:bookmarkName="_Int_VzxkFaJU" int2:invalidationBookmarkName="" int2:hashCode="Cx6Vz9l3UZGnIk" int2:id="XUDwOHNy">
      <int2:state int2:value="Rejected" int2:type="AugLoop_Text_Critique"/>
    </int2:bookmark>
    <int2:bookmark int2:bookmarkName="_Int_zGy25E11" int2:invalidationBookmarkName="" int2:hashCode="lZk79ZNUpH3T/l" int2:id="ZdTuiYhm">
      <int2:state int2:value="Rejected" int2:type="AugLoop_Text_Critique"/>
    </int2:bookmark>
    <int2:bookmark int2:bookmarkName="_Int_o1MY8p7Y" int2:invalidationBookmarkName="" int2:hashCode="0zP9mxBk2O8vgh" int2:id="bjrgm06c">
      <int2:state int2:value="Rejected" int2:type="AugLoop_Text_Critique"/>
    </int2:bookmark>
    <int2:bookmark int2:bookmarkName="_Int_yvIZQvO2" int2:invalidationBookmarkName="" int2:hashCode="X55YArurxx+Sdf" int2:id="c0AFjjgd">
      <int2:state int2:value="Rejected" int2:type="AugLoop_Text_Critique"/>
    </int2:bookmark>
    <int2:bookmark int2:bookmarkName="_Int_era2ib2J" int2:invalidationBookmarkName="" int2:hashCode="D5iSKXqTvymqrp" int2:id="oCuHyfTl">
      <int2:state int2:value="Rejected" int2:type="AugLoop_Text_Critique"/>
    </int2:bookmark>
    <int2:bookmark int2:bookmarkName="_Int_ljuMQa8q" int2:invalidationBookmarkName="" int2:hashCode="Rr6OScULP4Dl/X" int2:id="zRJ8zLL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56A6"/>
    <w:multiLevelType w:val="hybridMultilevel"/>
    <w:tmpl w:val="E05A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D46EB"/>
    <w:multiLevelType w:val="hybridMultilevel"/>
    <w:tmpl w:val="E4D8B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D35F4"/>
    <w:multiLevelType w:val="hybridMultilevel"/>
    <w:tmpl w:val="BB985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245C45"/>
    <w:multiLevelType w:val="hybridMultilevel"/>
    <w:tmpl w:val="07185CC4"/>
    <w:lvl w:ilvl="0" w:tplc="35C4EA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60C87"/>
    <w:multiLevelType w:val="hybridMultilevel"/>
    <w:tmpl w:val="249A9064"/>
    <w:lvl w:ilvl="0" w:tplc="D026FF4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817828"/>
    <w:multiLevelType w:val="hybridMultilevel"/>
    <w:tmpl w:val="9C32B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28FB7E"/>
    <w:multiLevelType w:val="hybridMultilevel"/>
    <w:tmpl w:val="E0C2EC68"/>
    <w:lvl w:ilvl="0" w:tplc="FBBC1ABE">
      <w:start w:val="1"/>
      <w:numFmt w:val="bullet"/>
      <w:lvlText w:val=""/>
      <w:lvlJc w:val="left"/>
      <w:pPr>
        <w:ind w:left="720" w:hanging="360"/>
      </w:pPr>
      <w:rPr>
        <w:rFonts w:ascii="Symbol" w:hAnsi="Symbol" w:hint="default"/>
      </w:rPr>
    </w:lvl>
    <w:lvl w:ilvl="1" w:tplc="59D0F71E">
      <w:start w:val="1"/>
      <w:numFmt w:val="bullet"/>
      <w:lvlText w:val="o"/>
      <w:lvlJc w:val="left"/>
      <w:pPr>
        <w:ind w:left="1440" w:hanging="360"/>
      </w:pPr>
      <w:rPr>
        <w:rFonts w:ascii="Courier New" w:hAnsi="Courier New" w:hint="default"/>
      </w:rPr>
    </w:lvl>
    <w:lvl w:ilvl="2" w:tplc="D6DC5C3A">
      <w:start w:val="1"/>
      <w:numFmt w:val="bullet"/>
      <w:lvlText w:val=""/>
      <w:lvlJc w:val="left"/>
      <w:pPr>
        <w:ind w:left="2160" w:hanging="360"/>
      </w:pPr>
      <w:rPr>
        <w:rFonts w:ascii="Wingdings" w:hAnsi="Wingdings" w:hint="default"/>
      </w:rPr>
    </w:lvl>
    <w:lvl w:ilvl="3" w:tplc="70B068E6">
      <w:start w:val="1"/>
      <w:numFmt w:val="bullet"/>
      <w:lvlText w:val=""/>
      <w:lvlJc w:val="left"/>
      <w:pPr>
        <w:ind w:left="2880" w:hanging="360"/>
      </w:pPr>
      <w:rPr>
        <w:rFonts w:ascii="Symbol" w:hAnsi="Symbol" w:hint="default"/>
      </w:rPr>
    </w:lvl>
    <w:lvl w:ilvl="4" w:tplc="B0984ED0">
      <w:start w:val="1"/>
      <w:numFmt w:val="bullet"/>
      <w:lvlText w:val="o"/>
      <w:lvlJc w:val="left"/>
      <w:pPr>
        <w:ind w:left="3600" w:hanging="360"/>
      </w:pPr>
      <w:rPr>
        <w:rFonts w:ascii="Courier New" w:hAnsi="Courier New" w:hint="default"/>
      </w:rPr>
    </w:lvl>
    <w:lvl w:ilvl="5" w:tplc="053ACEFC">
      <w:start w:val="1"/>
      <w:numFmt w:val="bullet"/>
      <w:lvlText w:val=""/>
      <w:lvlJc w:val="left"/>
      <w:pPr>
        <w:ind w:left="4320" w:hanging="360"/>
      </w:pPr>
      <w:rPr>
        <w:rFonts w:ascii="Wingdings" w:hAnsi="Wingdings" w:hint="default"/>
      </w:rPr>
    </w:lvl>
    <w:lvl w:ilvl="6" w:tplc="4F9ECC68">
      <w:start w:val="1"/>
      <w:numFmt w:val="bullet"/>
      <w:lvlText w:val=""/>
      <w:lvlJc w:val="left"/>
      <w:pPr>
        <w:ind w:left="5040" w:hanging="360"/>
      </w:pPr>
      <w:rPr>
        <w:rFonts w:ascii="Symbol" w:hAnsi="Symbol" w:hint="default"/>
      </w:rPr>
    </w:lvl>
    <w:lvl w:ilvl="7" w:tplc="69485214">
      <w:start w:val="1"/>
      <w:numFmt w:val="bullet"/>
      <w:lvlText w:val="o"/>
      <w:lvlJc w:val="left"/>
      <w:pPr>
        <w:ind w:left="5760" w:hanging="360"/>
      </w:pPr>
      <w:rPr>
        <w:rFonts w:ascii="Courier New" w:hAnsi="Courier New" w:hint="default"/>
      </w:rPr>
    </w:lvl>
    <w:lvl w:ilvl="8" w:tplc="3E34E04C">
      <w:start w:val="1"/>
      <w:numFmt w:val="bullet"/>
      <w:lvlText w:val=""/>
      <w:lvlJc w:val="left"/>
      <w:pPr>
        <w:ind w:left="6480" w:hanging="360"/>
      </w:pPr>
      <w:rPr>
        <w:rFonts w:ascii="Wingdings" w:hAnsi="Wingdings" w:hint="default"/>
      </w:rPr>
    </w:lvl>
  </w:abstractNum>
  <w:abstractNum w:abstractNumId="7" w15:restartNumberingAfterBreak="0">
    <w:nsid w:val="1E002209"/>
    <w:multiLevelType w:val="hybridMultilevel"/>
    <w:tmpl w:val="001E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D6601"/>
    <w:multiLevelType w:val="hybridMultilevel"/>
    <w:tmpl w:val="8BDACFF8"/>
    <w:lvl w:ilvl="0" w:tplc="C6C065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D5245"/>
    <w:multiLevelType w:val="hybridMultilevel"/>
    <w:tmpl w:val="F3B4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90A41"/>
    <w:multiLevelType w:val="multilevel"/>
    <w:tmpl w:val="A516B424"/>
    <w:styleLink w:val="CurrentList3"/>
    <w:lvl w:ilvl="0">
      <w:start w:val="1"/>
      <w:numFmt w:val="decimal"/>
      <w:pStyle w:val="Recommendation"/>
      <w:lvlText w:val="%1."/>
      <w:lvlJc w:val="left"/>
      <w:pPr>
        <w:ind w:left="432" w:hanging="432"/>
      </w:pPr>
      <w:rPr>
        <w:rFonts w:ascii="Andes" w:hAnsi="Ande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9C7685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15:restartNumberingAfterBreak="0">
    <w:nsid w:val="2F371B79"/>
    <w:multiLevelType w:val="hybridMultilevel"/>
    <w:tmpl w:val="D1F8A87C"/>
    <w:lvl w:ilvl="0" w:tplc="CEFC3C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653B4"/>
    <w:multiLevelType w:val="hybridMultilevel"/>
    <w:tmpl w:val="DA18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6609B"/>
    <w:multiLevelType w:val="hybridMultilevel"/>
    <w:tmpl w:val="BA9E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612DA4"/>
    <w:multiLevelType w:val="hybridMultilevel"/>
    <w:tmpl w:val="489E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33EBD"/>
    <w:multiLevelType w:val="hybridMultilevel"/>
    <w:tmpl w:val="3D9E2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A50E5A"/>
    <w:multiLevelType w:val="hybridMultilevel"/>
    <w:tmpl w:val="77767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71EC9"/>
    <w:multiLevelType w:val="hybridMultilevel"/>
    <w:tmpl w:val="CED0A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241BB1"/>
    <w:multiLevelType w:val="hybridMultilevel"/>
    <w:tmpl w:val="F3BCF372"/>
    <w:lvl w:ilvl="0" w:tplc="F9B2A7E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8288A"/>
    <w:multiLevelType w:val="hybridMultilevel"/>
    <w:tmpl w:val="E432E59C"/>
    <w:styleLink w:val="Current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03D49"/>
    <w:multiLevelType w:val="multilevel"/>
    <w:tmpl w:val="9232F3E6"/>
    <w:lvl w:ilvl="0">
      <w:start w:val="7"/>
      <w:numFmt w:val="decimal"/>
      <w:lvlText w:val="(%1"/>
      <w:lvlJc w:val="left"/>
      <w:pPr>
        <w:ind w:left="470" w:hanging="470"/>
      </w:pPr>
      <w:rPr>
        <w:rFonts w:hint="default"/>
      </w:rPr>
    </w:lvl>
    <w:lvl w:ilvl="1">
      <w:start w:val="10"/>
      <w:numFmt w:val="decimal"/>
      <w:lvlText w:val="(%1-%2"/>
      <w:lvlJc w:val="left"/>
      <w:pPr>
        <w:ind w:left="650" w:hanging="47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51A27936"/>
    <w:multiLevelType w:val="hybridMultilevel"/>
    <w:tmpl w:val="430C7C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8341D75"/>
    <w:multiLevelType w:val="hybridMultilevel"/>
    <w:tmpl w:val="8E2A8950"/>
    <w:lvl w:ilvl="0" w:tplc="53788DB8">
      <w:start w:val="1"/>
      <w:numFmt w:val="bullet"/>
      <w:lvlText w:val="•"/>
      <w:lvlJc w:val="left"/>
      <w:pPr>
        <w:tabs>
          <w:tab w:val="num" w:pos="720"/>
        </w:tabs>
        <w:ind w:left="720" w:hanging="360"/>
      </w:pPr>
      <w:rPr>
        <w:rFonts w:ascii="Calibri" w:hAnsi="Calibri" w:hint="default"/>
      </w:rPr>
    </w:lvl>
    <w:lvl w:ilvl="1" w:tplc="42369B18">
      <w:numFmt w:val="bullet"/>
      <w:lvlText w:val="•"/>
      <w:lvlJc w:val="left"/>
      <w:pPr>
        <w:tabs>
          <w:tab w:val="num" w:pos="1440"/>
        </w:tabs>
        <w:ind w:left="1440" w:hanging="360"/>
      </w:pPr>
      <w:rPr>
        <w:rFonts w:ascii="Calibri" w:hAnsi="Calibri" w:hint="default"/>
      </w:rPr>
    </w:lvl>
    <w:lvl w:ilvl="2" w:tplc="96A00090">
      <w:start w:val="1"/>
      <w:numFmt w:val="bullet"/>
      <w:lvlText w:val="•"/>
      <w:lvlJc w:val="left"/>
      <w:pPr>
        <w:tabs>
          <w:tab w:val="num" w:pos="2160"/>
        </w:tabs>
        <w:ind w:left="2160" w:hanging="360"/>
      </w:pPr>
      <w:rPr>
        <w:rFonts w:ascii="Calibri" w:hAnsi="Calibri" w:hint="default"/>
      </w:rPr>
    </w:lvl>
    <w:lvl w:ilvl="3" w:tplc="E2F6A410" w:tentative="1">
      <w:start w:val="1"/>
      <w:numFmt w:val="bullet"/>
      <w:lvlText w:val="•"/>
      <w:lvlJc w:val="left"/>
      <w:pPr>
        <w:tabs>
          <w:tab w:val="num" w:pos="2880"/>
        </w:tabs>
        <w:ind w:left="2880" w:hanging="360"/>
      </w:pPr>
      <w:rPr>
        <w:rFonts w:ascii="Calibri" w:hAnsi="Calibri" w:hint="default"/>
      </w:rPr>
    </w:lvl>
    <w:lvl w:ilvl="4" w:tplc="8F3EE03E" w:tentative="1">
      <w:start w:val="1"/>
      <w:numFmt w:val="bullet"/>
      <w:lvlText w:val="•"/>
      <w:lvlJc w:val="left"/>
      <w:pPr>
        <w:tabs>
          <w:tab w:val="num" w:pos="3600"/>
        </w:tabs>
        <w:ind w:left="3600" w:hanging="360"/>
      </w:pPr>
      <w:rPr>
        <w:rFonts w:ascii="Calibri" w:hAnsi="Calibri" w:hint="default"/>
      </w:rPr>
    </w:lvl>
    <w:lvl w:ilvl="5" w:tplc="596ABAEA" w:tentative="1">
      <w:start w:val="1"/>
      <w:numFmt w:val="bullet"/>
      <w:lvlText w:val="•"/>
      <w:lvlJc w:val="left"/>
      <w:pPr>
        <w:tabs>
          <w:tab w:val="num" w:pos="4320"/>
        </w:tabs>
        <w:ind w:left="4320" w:hanging="360"/>
      </w:pPr>
      <w:rPr>
        <w:rFonts w:ascii="Calibri" w:hAnsi="Calibri" w:hint="default"/>
      </w:rPr>
    </w:lvl>
    <w:lvl w:ilvl="6" w:tplc="26A26946" w:tentative="1">
      <w:start w:val="1"/>
      <w:numFmt w:val="bullet"/>
      <w:lvlText w:val="•"/>
      <w:lvlJc w:val="left"/>
      <w:pPr>
        <w:tabs>
          <w:tab w:val="num" w:pos="5040"/>
        </w:tabs>
        <w:ind w:left="5040" w:hanging="360"/>
      </w:pPr>
      <w:rPr>
        <w:rFonts w:ascii="Calibri" w:hAnsi="Calibri" w:hint="default"/>
      </w:rPr>
    </w:lvl>
    <w:lvl w:ilvl="7" w:tplc="1264F3EC" w:tentative="1">
      <w:start w:val="1"/>
      <w:numFmt w:val="bullet"/>
      <w:lvlText w:val="•"/>
      <w:lvlJc w:val="left"/>
      <w:pPr>
        <w:tabs>
          <w:tab w:val="num" w:pos="5760"/>
        </w:tabs>
        <w:ind w:left="5760" w:hanging="360"/>
      </w:pPr>
      <w:rPr>
        <w:rFonts w:ascii="Calibri" w:hAnsi="Calibri" w:hint="default"/>
      </w:rPr>
    </w:lvl>
    <w:lvl w:ilvl="8" w:tplc="3C20EEAC"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95D7F64"/>
    <w:multiLevelType w:val="hybridMultilevel"/>
    <w:tmpl w:val="F9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D2384"/>
    <w:multiLevelType w:val="hybridMultilevel"/>
    <w:tmpl w:val="EFE83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38475C"/>
    <w:multiLevelType w:val="hybridMultilevel"/>
    <w:tmpl w:val="B3823822"/>
    <w:lvl w:ilvl="0" w:tplc="D04810D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D398A"/>
    <w:multiLevelType w:val="hybridMultilevel"/>
    <w:tmpl w:val="129C40F8"/>
    <w:styleLink w:val="CurrentList1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7C4AC8"/>
    <w:multiLevelType w:val="hybridMultilevel"/>
    <w:tmpl w:val="207A70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535A3C"/>
    <w:multiLevelType w:val="hybridMultilevel"/>
    <w:tmpl w:val="DC88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6E1D9"/>
    <w:multiLevelType w:val="hybridMultilevel"/>
    <w:tmpl w:val="E6F84ACE"/>
    <w:lvl w:ilvl="0" w:tplc="55C005A6">
      <w:start w:val="1"/>
      <w:numFmt w:val="bullet"/>
      <w:lvlText w:val=""/>
      <w:lvlJc w:val="left"/>
      <w:pPr>
        <w:ind w:left="720" w:hanging="360"/>
      </w:pPr>
      <w:rPr>
        <w:rFonts w:ascii="Symbol" w:hAnsi="Symbol" w:hint="default"/>
      </w:rPr>
    </w:lvl>
    <w:lvl w:ilvl="1" w:tplc="0EFC4558">
      <w:start w:val="1"/>
      <w:numFmt w:val="bullet"/>
      <w:lvlText w:val="o"/>
      <w:lvlJc w:val="left"/>
      <w:pPr>
        <w:ind w:left="1440" w:hanging="360"/>
      </w:pPr>
      <w:rPr>
        <w:rFonts w:ascii="Courier New" w:hAnsi="Courier New" w:hint="default"/>
      </w:rPr>
    </w:lvl>
    <w:lvl w:ilvl="2" w:tplc="B192D6E4">
      <w:start w:val="1"/>
      <w:numFmt w:val="bullet"/>
      <w:lvlText w:val=""/>
      <w:lvlJc w:val="left"/>
      <w:pPr>
        <w:ind w:left="2160" w:hanging="360"/>
      </w:pPr>
      <w:rPr>
        <w:rFonts w:ascii="Wingdings" w:hAnsi="Wingdings" w:hint="default"/>
      </w:rPr>
    </w:lvl>
    <w:lvl w:ilvl="3" w:tplc="6F080ECA">
      <w:start w:val="1"/>
      <w:numFmt w:val="bullet"/>
      <w:lvlText w:val=""/>
      <w:lvlJc w:val="left"/>
      <w:pPr>
        <w:ind w:left="2880" w:hanging="360"/>
      </w:pPr>
      <w:rPr>
        <w:rFonts w:ascii="Symbol" w:hAnsi="Symbol" w:hint="default"/>
      </w:rPr>
    </w:lvl>
    <w:lvl w:ilvl="4" w:tplc="A45E5684">
      <w:start w:val="1"/>
      <w:numFmt w:val="bullet"/>
      <w:lvlText w:val="o"/>
      <w:lvlJc w:val="left"/>
      <w:pPr>
        <w:ind w:left="3600" w:hanging="360"/>
      </w:pPr>
      <w:rPr>
        <w:rFonts w:ascii="Courier New" w:hAnsi="Courier New" w:hint="default"/>
      </w:rPr>
    </w:lvl>
    <w:lvl w:ilvl="5" w:tplc="7D022804">
      <w:start w:val="1"/>
      <w:numFmt w:val="bullet"/>
      <w:lvlText w:val=""/>
      <w:lvlJc w:val="left"/>
      <w:pPr>
        <w:ind w:left="4320" w:hanging="360"/>
      </w:pPr>
      <w:rPr>
        <w:rFonts w:ascii="Wingdings" w:hAnsi="Wingdings" w:hint="default"/>
      </w:rPr>
    </w:lvl>
    <w:lvl w:ilvl="6" w:tplc="8DEE589A">
      <w:start w:val="1"/>
      <w:numFmt w:val="bullet"/>
      <w:lvlText w:val=""/>
      <w:lvlJc w:val="left"/>
      <w:pPr>
        <w:ind w:left="5040" w:hanging="360"/>
      </w:pPr>
      <w:rPr>
        <w:rFonts w:ascii="Symbol" w:hAnsi="Symbol" w:hint="default"/>
      </w:rPr>
    </w:lvl>
    <w:lvl w:ilvl="7" w:tplc="6024D1D6">
      <w:start w:val="1"/>
      <w:numFmt w:val="bullet"/>
      <w:lvlText w:val="o"/>
      <w:lvlJc w:val="left"/>
      <w:pPr>
        <w:ind w:left="5760" w:hanging="360"/>
      </w:pPr>
      <w:rPr>
        <w:rFonts w:ascii="Courier New" w:hAnsi="Courier New" w:hint="default"/>
      </w:rPr>
    </w:lvl>
    <w:lvl w:ilvl="8" w:tplc="81E6E20E">
      <w:start w:val="1"/>
      <w:numFmt w:val="bullet"/>
      <w:lvlText w:val=""/>
      <w:lvlJc w:val="left"/>
      <w:pPr>
        <w:ind w:left="6480" w:hanging="360"/>
      </w:pPr>
      <w:rPr>
        <w:rFonts w:ascii="Wingdings" w:hAnsi="Wingdings" w:hint="default"/>
      </w:rPr>
    </w:lvl>
  </w:abstractNum>
  <w:abstractNum w:abstractNumId="31" w15:restartNumberingAfterBreak="0">
    <w:nsid w:val="7286483A"/>
    <w:multiLevelType w:val="hybridMultilevel"/>
    <w:tmpl w:val="9C3C3FC0"/>
    <w:lvl w:ilvl="0" w:tplc="BB846D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5D18EA"/>
    <w:multiLevelType w:val="hybridMultilevel"/>
    <w:tmpl w:val="D30AB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7E6E74"/>
    <w:multiLevelType w:val="hybridMultilevel"/>
    <w:tmpl w:val="1D360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D662B4"/>
    <w:multiLevelType w:val="multilevel"/>
    <w:tmpl w:val="07BC32F4"/>
    <w:lvl w:ilvl="0">
      <w:start w:val="1"/>
      <w:numFmt w:val="decimal"/>
      <w:lvlText w:val="%1."/>
      <w:lvlJc w:val="left"/>
      <w:pPr>
        <w:ind w:left="360" w:hanging="360"/>
      </w:pPr>
      <w:rPr>
        <w:rFonts w:asciiTheme="majorHAnsi" w:eastAsiaTheme="majorEastAsia" w:hAnsiTheme="majorHAnsi" w:cstheme="majorBidi"/>
        <w:b w:val="0"/>
        <w:bCs w:val="0"/>
        <w:sz w:val="20"/>
        <w:szCs w:val="20"/>
      </w:rPr>
    </w:lvl>
    <w:lvl w:ilvl="1">
      <w:start w:val="1"/>
      <w:numFmt w:val="decimal"/>
      <w:isLgl/>
      <w:lvlText w:val="%1.%2."/>
      <w:lvlJc w:val="left"/>
      <w:pPr>
        <w:ind w:left="-480" w:hanging="420"/>
      </w:pPr>
      <w:rPr>
        <w:rFonts w:hint="default"/>
      </w:rPr>
    </w:lvl>
    <w:lvl w:ilvl="2">
      <w:start w:val="1"/>
      <w:numFmt w:val="decimal"/>
      <w:isLgl/>
      <w:lvlText w:val="%1.%2.%3."/>
      <w:lvlJc w:val="left"/>
      <w:pPr>
        <w:ind w:left="-180" w:hanging="720"/>
      </w:pPr>
      <w:rPr>
        <w:rFonts w:hint="default"/>
      </w:rPr>
    </w:lvl>
    <w:lvl w:ilvl="3">
      <w:start w:val="1"/>
      <w:numFmt w:val="decimal"/>
      <w:isLgl/>
      <w:lvlText w:val="%1.%2.%3.%4."/>
      <w:lvlJc w:val="left"/>
      <w:pPr>
        <w:ind w:left="-180" w:hanging="720"/>
      </w:pPr>
      <w:rPr>
        <w:rFonts w:hint="default"/>
      </w:rPr>
    </w:lvl>
    <w:lvl w:ilvl="4">
      <w:start w:val="1"/>
      <w:numFmt w:val="decimal"/>
      <w:isLgl/>
      <w:lvlText w:val="%1.%2.%3.%4.%5."/>
      <w:lvlJc w:val="left"/>
      <w:pPr>
        <w:ind w:left="180" w:hanging="1080"/>
      </w:pPr>
      <w:rPr>
        <w:rFonts w:hint="default"/>
      </w:rPr>
    </w:lvl>
    <w:lvl w:ilvl="5">
      <w:start w:val="1"/>
      <w:numFmt w:val="decimal"/>
      <w:isLgl/>
      <w:lvlText w:val="%1.%2.%3.%4.%5.%6."/>
      <w:lvlJc w:val="left"/>
      <w:pPr>
        <w:ind w:left="180" w:hanging="1080"/>
      </w:pPr>
      <w:rPr>
        <w:rFonts w:hint="default"/>
      </w:rPr>
    </w:lvl>
    <w:lvl w:ilvl="6">
      <w:start w:val="1"/>
      <w:numFmt w:val="decimal"/>
      <w:isLgl/>
      <w:lvlText w:val="%1.%2.%3.%4.%5.%6.%7."/>
      <w:lvlJc w:val="left"/>
      <w:pPr>
        <w:ind w:left="180" w:hanging="1080"/>
      </w:pPr>
      <w:rPr>
        <w:rFonts w:hint="default"/>
      </w:rPr>
    </w:lvl>
    <w:lvl w:ilvl="7">
      <w:start w:val="1"/>
      <w:numFmt w:val="decimal"/>
      <w:isLgl/>
      <w:lvlText w:val="%1.%2.%3.%4.%5.%6.%7.%8."/>
      <w:lvlJc w:val="left"/>
      <w:pPr>
        <w:ind w:left="540" w:hanging="1440"/>
      </w:pPr>
      <w:rPr>
        <w:rFonts w:hint="default"/>
      </w:rPr>
    </w:lvl>
    <w:lvl w:ilvl="8">
      <w:start w:val="1"/>
      <w:numFmt w:val="decimal"/>
      <w:isLgl/>
      <w:lvlText w:val="%1.%2.%3.%4.%5.%6.%7.%8.%9."/>
      <w:lvlJc w:val="left"/>
      <w:pPr>
        <w:ind w:left="540" w:hanging="1440"/>
      </w:pPr>
      <w:rPr>
        <w:rFonts w:hint="default"/>
      </w:rPr>
    </w:lvl>
  </w:abstractNum>
  <w:abstractNum w:abstractNumId="35" w15:restartNumberingAfterBreak="0">
    <w:nsid w:val="7600302B"/>
    <w:multiLevelType w:val="multilevel"/>
    <w:tmpl w:val="18920810"/>
    <w:lvl w:ilvl="0">
      <w:start w:val="5"/>
      <w:numFmt w:val="decimal"/>
      <w:lvlText w:val="(%1"/>
      <w:lvlJc w:val="left"/>
      <w:pPr>
        <w:ind w:left="360" w:hanging="36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180" w:hanging="108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640" w:hanging="1440"/>
      </w:pPr>
      <w:rPr>
        <w:rFonts w:hint="default"/>
      </w:rPr>
    </w:lvl>
    <w:lvl w:ilvl="5">
      <w:start w:val="1"/>
      <w:numFmt w:val="decimal"/>
      <w:lvlText w:val="(%1-%2.%3.%4.%5.%6"/>
      <w:lvlJc w:val="left"/>
      <w:pPr>
        <w:ind w:left="2050" w:hanging="1800"/>
      </w:pPr>
      <w:rPr>
        <w:rFonts w:hint="default"/>
      </w:rPr>
    </w:lvl>
    <w:lvl w:ilvl="6">
      <w:start w:val="1"/>
      <w:numFmt w:val="decimal"/>
      <w:lvlText w:val="(%1-%2.%3.%4.%5.%6.%7"/>
      <w:lvlJc w:val="left"/>
      <w:pPr>
        <w:ind w:left="2100" w:hanging="1800"/>
      </w:pPr>
      <w:rPr>
        <w:rFonts w:hint="default"/>
      </w:rPr>
    </w:lvl>
    <w:lvl w:ilvl="7">
      <w:start w:val="1"/>
      <w:numFmt w:val="decimal"/>
      <w:lvlText w:val="(%1-%2.%3.%4.%5.%6.%7.%8"/>
      <w:lvlJc w:val="left"/>
      <w:pPr>
        <w:ind w:left="2510" w:hanging="2160"/>
      </w:pPr>
      <w:rPr>
        <w:rFonts w:hint="default"/>
      </w:rPr>
    </w:lvl>
    <w:lvl w:ilvl="8">
      <w:start w:val="1"/>
      <w:numFmt w:val="decimal"/>
      <w:lvlText w:val="(%1-%2.%3.%4.%5.%6.%7.%8.%9"/>
      <w:lvlJc w:val="left"/>
      <w:pPr>
        <w:ind w:left="2920" w:hanging="2520"/>
      </w:pPr>
      <w:rPr>
        <w:rFonts w:hint="default"/>
      </w:rPr>
    </w:lvl>
  </w:abstractNum>
  <w:abstractNum w:abstractNumId="36" w15:restartNumberingAfterBreak="0">
    <w:nsid w:val="764C076C"/>
    <w:multiLevelType w:val="hybridMultilevel"/>
    <w:tmpl w:val="C1AE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44C99"/>
    <w:multiLevelType w:val="multilevel"/>
    <w:tmpl w:val="BFACB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0"/>
  </w:num>
  <w:num w:numId="3">
    <w:abstractNumId w:val="3"/>
  </w:num>
  <w:num w:numId="4">
    <w:abstractNumId w:val="31"/>
  </w:num>
  <w:num w:numId="5">
    <w:abstractNumId w:val="19"/>
  </w:num>
  <w:num w:numId="6">
    <w:abstractNumId w:val="28"/>
  </w:num>
  <w:num w:numId="7">
    <w:abstractNumId w:val="11"/>
  </w:num>
  <w:num w:numId="8">
    <w:abstractNumId w:val="35"/>
  </w:num>
  <w:num w:numId="9">
    <w:abstractNumId w:val="21"/>
  </w:num>
  <w:num w:numId="10">
    <w:abstractNumId w:val="16"/>
  </w:num>
  <w:num w:numId="11">
    <w:abstractNumId w:val="34"/>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3"/>
  </w:num>
  <w:num w:numId="17">
    <w:abstractNumId w:val="13"/>
  </w:num>
  <w:num w:numId="18">
    <w:abstractNumId w:val="15"/>
  </w:num>
  <w:num w:numId="19">
    <w:abstractNumId w:val="33"/>
  </w:num>
  <w:num w:numId="20">
    <w:abstractNumId w:val="32"/>
  </w:num>
  <w:num w:numId="21">
    <w:abstractNumId w:val="10"/>
  </w:num>
  <w:num w:numId="22">
    <w:abstractNumId w:val="10"/>
    <w:lvlOverride w:ilvl="1">
      <w:lvl w:ilvl="1">
        <w:start w:val="1"/>
        <w:numFmt w:val="decimal"/>
        <w:lvlText w:val="%1.%2."/>
        <w:lvlJc w:val="left"/>
        <w:pPr>
          <w:ind w:left="576" w:hanging="576"/>
        </w:pPr>
        <w:rPr>
          <w:rFonts w:asciiTheme="majorHAnsi" w:hAnsiTheme="majorHAnsi" w:hint="default"/>
        </w:rPr>
      </w:lvl>
    </w:lvlOverride>
  </w:num>
  <w:num w:numId="23">
    <w:abstractNumId w:val="18"/>
  </w:num>
  <w:num w:numId="24">
    <w:abstractNumId w:val="27"/>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9"/>
  </w:num>
  <w:num w:numId="33">
    <w:abstractNumId w:val="1"/>
  </w:num>
  <w:num w:numId="34">
    <w:abstractNumId w:val="12"/>
  </w:num>
  <w:num w:numId="35">
    <w:abstractNumId w:val="0"/>
  </w:num>
  <w:num w:numId="36">
    <w:abstractNumId w:val="26"/>
  </w:num>
  <w:num w:numId="37">
    <w:abstractNumId w:val="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36"/>
  </w:num>
  <w:num w:numId="44">
    <w:abstractNumId w:val="14"/>
  </w:num>
  <w:num w:numId="45">
    <w:abstractNumId w:val="20"/>
  </w:num>
  <w:num w:numId="46">
    <w:abstractNumId w:val="29"/>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FF"/>
    <w:rsid w:val="00000681"/>
    <w:rsid w:val="00000951"/>
    <w:rsid w:val="00000B0B"/>
    <w:rsid w:val="00000B6E"/>
    <w:rsid w:val="00000C83"/>
    <w:rsid w:val="0000111D"/>
    <w:rsid w:val="000014AE"/>
    <w:rsid w:val="000016C4"/>
    <w:rsid w:val="000019E9"/>
    <w:rsid w:val="00001C5A"/>
    <w:rsid w:val="00001E45"/>
    <w:rsid w:val="00001EC9"/>
    <w:rsid w:val="00001F5C"/>
    <w:rsid w:val="00001FFB"/>
    <w:rsid w:val="000022A3"/>
    <w:rsid w:val="000028A6"/>
    <w:rsid w:val="00002E40"/>
    <w:rsid w:val="00003043"/>
    <w:rsid w:val="00003251"/>
    <w:rsid w:val="00003D9F"/>
    <w:rsid w:val="00003DDA"/>
    <w:rsid w:val="000040A3"/>
    <w:rsid w:val="0000413F"/>
    <w:rsid w:val="0000425F"/>
    <w:rsid w:val="0000447A"/>
    <w:rsid w:val="00004646"/>
    <w:rsid w:val="000048DB"/>
    <w:rsid w:val="000054FA"/>
    <w:rsid w:val="00005EDF"/>
    <w:rsid w:val="00006085"/>
    <w:rsid w:val="00006812"/>
    <w:rsid w:val="00006834"/>
    <w:rsid w:val="00006A34"/>
    <w:rsid w:val="00006AC4"/>
    <w:rsid w:val="00006C4E"/>
    <w:rsid w:val="00007470"/>
    <w:rsid w:val="00007A84"/>
    <w:rsid w:val="00007C7E"/>
    <w:rsid w:val="00010111"/>
    <w:rsid w:val="00010332"/>
    <w:rsid w:val="00010976"/>
    <w:rsid w:val="00010CA7"/>
    <w:rsid w:val="00010CEF"/>
    <w:rsid w:val="00011035"/>
    <w:rsid w:val="0001133F"/>
    <w:rsid w:val="00011BAA"/>
    <w:rsid w:val="000120B1"/>
    <w:rsid w:val="000121D1"/>
    <w:rsid w:val="0001320F"/>
    <w:rsid w:val="00013519"/>
    <w:rsid w:val="000138C3"/>
    <w:rsid w:val="00014121"/>
    <w:rsid w:val="0001454F"/>
    <w:rsid w:val="00014C2B"/>
    <w:rsid w:val="0001511C"/>
    <w:rsid w:val="000157F3"/>
    <w:rsid w:val="0001592D"/>
    <w:rsid w:val="0001596F"/>
    <w:rsid w:val="00015D26"/>
    <w:rsid w:val="00016207"/>
    <w:rsid w:val="000166F8"/>
    <w:rsid w:val="000170FB"/>
    <w:rsid w:val="00017317"/>
    <w:rsid w:val="00017BA0"/>
    <w:rsid w:val="00017E2C"/>
    <w:rsid w:val="00020025"/>
    <w:rsid w:val="000201B4"/>
    <w:rsid w:val="000207FD"/>
    <w:rsid w:val="00020CDD"/>
    <w:rsid w:val="00020D0D"/>
    <w:rsid w:val="00020E55"/>
    <w:rsid w:val="00021A37"/>
    <w:rsid w:val="00021C62"/>
    <w:rsid w:val="00022159"/>
    <w:rsid w:val="0002238E"/>
    <w:rsid w:val="000223E8"/>
    <w:rsid w:val="00022F31"/>
    <w:rsid w:val="00022FD5"/>
    <w:rsid w:val="00022FE8"/>
    <w:rsid w:val="0002323E"/>
    <w:rsid w:val="00023C7F"/>
    <w:rsid w:val="00023DE0"/>
    <w:rsid w:val="0002419F"/>
    <w:rsid w:val="0002425F"/>
    <w:rsid w:val="00024402"/>
    <w:rsid w:val="00024680"/>
    <w:rsid w:val="00024E7A"/>
    <w:rsid w:val="00024FDF"/>
    <w:rsid w:val="00025265"/>
    <w:rsid w:val="000252A9"/>
    <w:rsid w:val="0002533E"/>
    <w:rsid w:val="00025B24"/>
    <w:rsid w:val="00025C74"/>
    <w:rsid w:val="00025D5E"/>
    <w:rsid w:val="00026066"/>
    <w:rsid w:val="000266C1"/>
    <w:rsid w:val="00026B68"/>
    <w:rsid w:val="00026D9A"/>
    <w:rsid w:val="00027115"/>
    <w:rsid w:val="00027898"/>
    <w:rsid w:val="00027ACF"/>
    <w:rsid w:val="00027BB7"/>
    <w:rsid w:val="000307E2"/>
    <w:rsid w:val="00030A10"/>
    <w:rsid w:val="0003128F"/>
    <w:rsid w:val="000313F8"/>
    <w:rsid w:val="000318CD"/>
    <w:rsid w:val="0003191D"/>
    <w:rsid w:val="00031B7B"/>
    <w:rsid w:val="00031CEA"/>
    <w:rsid w:val="00032F0B"/>
    <w:rsid w:val="0003338F"/>
    <w:rsid w:val="0003357C"/>
    <w:rsid w:val="00033CD2"/>
    <w:rsid w:val="000342D0"/>
    <w:rsid w:val="00034332"/>
    <w:rsid w:val="00034451"/>
    <w:rsid w:val="00034973"/>
    <w:rsid w:val="000349EA"/>
    <w:rsid w:val="000355AF"/>
    <w:rsid w:val="00036124"/>
    <w:rsid w:val="0003613A"/>
    <w:rsid w:val="000362D0"/>
    <w:rsid w:val="000366CE"/>
    <w:rsid w:val="00036C3C"/>
    <w:rsid w:val="0003761E"/>
    <w:rsid w:val="00037857"/>
    <w:rsid w:val="00040119"/>
    <w:rsid w:val="0004057E"/>
    <w:rsid w:val="0004061B"/>
    <w:rsid w:val="00040A8A"/>
    <w:rsid w:val="00040B56"/>
    <w:rsid w:val="00040C7F"/>
    <w:rsid w:val="00040E5F"/>
    <w:rsid w:val="000417CA"/>
    <w:rsid w:val="00041822"/>
    <w:rsid w:val="00041A79"/>
    <w:rsid w:val="00041D67"/>
    <w:rsid w:val="000427D4"/>
    <w:rsid w:val="000427DA"/>
    <w:rsid w:val="0004314B"/>
    <w:rsid w:val="0004344E"/>
    <w:rsid w:val="00043757"/>
    <w:rsid w:val="00043C39"/>
    <w:rsid w:val="00043C3B"/>
    <w:rsid w:val="0004460F"/>
    <w:rsid w:val="0004472B"/>
    <w:rsid w:val="000448B6"/>
    <w:rsid w:val="00044F97"/>
    <w:rsid w:val="0004502A"/>
    <w:rsid w:val="0004531D"/>
    <w:rsid w:val="0004538D"/>
    <w:rsid w:val="00045775"/>
    <w:rsid w:val="00045A99"/>
    <w:rsid w:val="00046280"/>
    <w:rsid w:val="000463A7"/>
    <w:rsid w:val="000464C6"/>
    <w:rsid w:val="00046691"/>
    <w:rsid w:val="0004722F"/>
    <w:rsid w:val="000479B5"/>
    <w:rsid w:val="00047F87"/>
    <w:rsid w:val="000500C1"/>
    <w:rsid w:val="00051012"/>
    <w:rsid w:val="000514D9"/>
    <w:rsid w:val="000518DA"/>
    <w:rsid w:val="00052166"/>
    <w:rsid w:val="000523F7"/>
    <w:rsid w:val="00052643"/>
    <w:rsid w:val="0005268C"/>
    <w:rsid w:val="00052799"/>
    <w:rsid w:val="000527CA"/>
    <w:rsid w:val="00052CDC"/>
    <w:rsid w:val="00052DF3"/>
    <w:rsid w:val="000530E6"/>
    <w:rsid w:val="00053733"/>
    <w:rsid w:val="00053A29"/>
    <w:rsid w:val="00053CB5"/>
    <w:rsid w:val="000542CE"/>
    <w:rsid w:val="0005447A"/>
    <w:rsid w:val="00054A99"/>
    <w:rsid w:val="000553A3"/>
    <w:rsid w:val="000553B4"/>
    <w:rsid w:val="00055961"/>
    <w:rsid w:val="00055B05"/>
    <w:rsid w:val="000568BD"/>
    <w:rsid w:val="00056BE3"/>
    <w:rsid w:val="00056CC1"/>
    <w:rsid w:val="0005771B"/>
    <w:rsid w:val="00057B01"/>
    <w:rsid w:val="00057DDE"/>
    <w:rsid w:val="00060A59"/>
    <w:rsid w:val="0006167A"/>
    <w:rsid w:val="00061CDF"/>
    <w:rsid w:val="00061EE4"/>
    <w:rsid w:val="0006329F"/>
    <w:rsid w:val="000632FF"/>
    <w:rsid w:val="00063682"/>
    <w:rsid w:val="000638D1"/>
    <w:rsid w:val="00063A56"/>
    <w:rsid w:val="00063FA5"/>
    <w:rsid w:val="00064466"/>
    <w:rsid w:val="00064505"/>
    <w:rsid w:val="0006472C"/>
    <w:rsid w:val="0006501B"/>
    <w:rsid w:val="0006578D"/>
    <w:rsid w:val="00065CB8"/>
    <w:rsid w:val="00065E12"/>
    <w:rsid w:val="00065ECD"/>
    <w:rsid w:val="00066283"/>
    <w:rsid w:val="000662E2"/>
    <w:rsid w:val="0006660F"/>
    <w:rsid w:val="000666A8"/>
    <w:rsid w:val="00066A90"/>
    <w:rsid w:val="00066C2F"/>
    <w:rsid w:val="00066D2C"/>
    <w:rsid w:val="000671E8"/>
    <w:rsid w:val="000672C3"/>
    <w:rsid w:val="00067A38"/>
    <w:rsid w:val="00070190"/>
    <w:rsid w:val="00070C65"/>
    <w:rsid w:val="00070D09"/>
    <w:rsid w:val="0007175E"/>
    <w:rsid w:val="00071C0A"/>
    <w:rsid w:val="00071DAA"/>
    <w:rsid w:val="00072BF0"/>
    <w:rsid w:val="00073581"/>
    <w:rsid w:val="0007358B"/>
    <w:rsid w:val="0007385A"/>
    <w:rsid w:val="000738E3"/>
    <w:rsid w:val="00073A82"/>
    <w:rsid w:val="00073AB5"/>
    <w:rsid w:val="00073E68"/>
    <w:rsid w:val="00074698"/>
    <w:rsid w:val="00074835"/>
    <w:rsid w:val="00074938"/>
    <w:rsid w:val="0007525F"/>
    <w:rsid w:val="000752B8"/>
    <w:rsid w:val="00075355"/>
    <w:rsid w:val="00075AE7"/>
    <w:rsid w:val="00075C6B"/>
    <w:rsid w:val="00077477"/>
    <w:rsid w:val="000774D8"/>
    <w:rsid w:val="00077A24"/>
    <w:rsid w:val="000801DF"/>
    <w:rsid w:val="00080AEA"/>
    <w:rsid w:val="00080CE3"/>
    <w:rsid w:val="00080F81"/>
    <w:rsid w:val="0008109D"/>
    <w:rsid w:val="000816A9"/>
    <w:rsid w:val="00082220"/>
    <w:rsid w:val="000825B3"/>
    <w:rsid w:val="00082C41"/>
    <w:rsid w:val="000834C6"/>
    <w:rsid w:val="00083533"/>
    <w:rsid w:val="000835A3"/>
    <w:rsid w:val="00083E27"/>
    <w:rsid w:val="00083FC2"/>
    <w:rsid w:val="00084191"/>
    <w:rsid w:val="00084793"/>
    <w:rsid w:val="000850E8"/>
    <w:rsid w:val="000851EB"/>
    <w:rsid w:val="00085A36"/>
    <w:rsid w:val="000860B6"/>
    <w:rsid w:val="00086820"/>
    <w:rsid w:val="00087423"/>
    <w:rsid w:val="00087700"/>
    <w:rsid w:val="00090FAB"/>
    <w:rsid w:val="00090FAD"/>
    <w:rsid w:val="00091D0F"/>
    <w:rsid w:val="000926DF"/>
    <w:rsid w:val="00092759"/>
    <w:rsid w:val="00093112"/>
    <w:rsid w:val="000935B4"/>
    <w:rsid w:val="00093732"/>
    <w:rsid w:val="000937AF"/>
    <w:rsid w:val="000937F1"/>
    <w:rsid w:val="00093EEB"/>
    <w:rsid w:val="00094826"/>
    <w:rsid w:val="00094A54"/>
    <w:rsid w:val="00094DFB"/>
    <w:rsid w:val="00094E0B"/>
    <w:rsid w:val="00094E33"/>
    <w:rsid w:val="000964A4"/>
    <w:rsid w:val="00096584"/>
    <w:rsid w:val="00096EEA"/>
    <w:rsid w:val="000972A7"/>
    <w:rsid w:val="00097888"/>
    <w:rsid w:val="000A033C"/>
    <w:rsid w:val="000A057E"/>
    <w:rsid w:val="000A05F8"/>
    <w:rsid w:val="000A0611"/>
    <w:rsid w:val="000A0B98"/>
    <w:rsid w:val="000A0BA2"/>
    <w:rsid w:val="000A0EE5"/>
    <w:rsid w:val="000A13FA"/>
    <w:rsid w:val="000A1DC3"/>
    <w:rsid w:val="000A1E47"/>
    <w:rsid w:val="000A1E7C"/>
    <w:rsid w:val="000A25FA"/>
    <w:rsid w:val="000A29D5"/>
    <w:rsid w:val="000A3794"/>
    <w:rsid w:val="000A390D"/>
    <w:rsid w:val="000A3BB5"/>
    <w:rsid w:val="000A3D31"/>
    <w:rsid w:val="000A3D64"/>
    <w:rsid w:val="000A4963"/>
    <w:rsid w:val="000A4965"/>
    <w:rsid w:val="000A4A49"/>
    <w:rsid w:val="000A4C0A"/>
    <w:rsid w:val="000A4C76"/>
    <w:rsid w:val="000A4D92"/>
    <w:rsid w:val="000A4E92"/>
    <w:rsid w:val="000A4F46"/>
    <w:rsid w:val="000A5144"/>
    <w:rsid w:val="000A58E4"/>
    <w:rsid w:val="000A5E76"/>
    <w:rsid w:val="000A6040"/>
    <w:rsid w:val="000A62A2"/>
    <w:rsid w:val="000A6315"/>
    <w:rsid w:val="000A6671"/>
    <w:rsid w:val="000A6B4E"/>
    <w:rsid w:val="000A7617"/>
    <w:rsid w:val="000B07B6"/>
    <w:rsid w:val="000B09FB"/>
    <w:rsid w:val="000B0AC2"/>
    <w:rsid w:val="000B11F9"/>
    <w:rsid w:val="000B154C"/>
    <w:rsid w:val="000B1B3D"/>
    <w:rsid w:val="000B1E53"/>
    <w:rsid w:val="000B1FDE"/>
    <w:rsid w:val="000B201F"/>
    <w:rsid w:val="000B2352"/>
    <w:rsid w:val="000B2F77"/>
    <w:rsid w:val="000B311F"/>
    <w:rsid w:val="000B3378"/>
    <w:rsid w:val="000B3C4F"/>
    <w:rsid w:val="000B4B13"/>
    <w:rsid w:val="000B4DD7"/>
    <w:rsid w:val="000B4E1F"/>
    <w:rsid w:val="000B52A8"/>
    <w:rsid w:val="000B52F9"/>
    <w:rsid w:val="000B5355"/>
    <w:rsid w:val="000B5691"/>
    <w:rsid w:val="000B5B8B"/>
    <w:rsid w:val="000B60D1"/>
    <w:rsid w:val="000B6217"/>
    <w:rsid w:val="000B62BB"/>
    <w:rsid w:val="000B6627"/>
    <w:rsid w:val="000B6822"/>
    <w:rsid w:val="000B7542"/>
    <w:rsid w:val="000B7EE1"/>
    <w:rsid w:val="000C0756"/>
    <w:rsid w:val="000C0A4E"/>
    <w:rsid w:val="000C1EB2"/>
    <w:rsid w:val="000C20ED"/>
    <w:rsid w:val="000C2D15"/>
    <w:rsid w:val="000C3045"/>
    <w:rsid w:val="000C31F1"/>
    <w:rsid w:val="000C3606"/>
    <w:rsid w:val="000C3BCC"/>
    <w:rsid w:val="000C3C52"/>
    <w:rsid w:val="000C422A"/>
    <w:rsid w:val="000C42FF"/>
    <w:rsid w:val="000C493F"/>
    <w:rsid w:val="000C5579"/>
    <w:rsid w:val="000C6B44"/>
    <w:rsid w:val="000C70C8"/>
    <w:rsid w:val="000C7D8F"/>
    <w:rsid w:val="000C7F48"/>
    <w:rsid w:val="000D074F"/>
    <w:rsid w:val="000D0C9E"/>
    <w:rsid w:val="000D0FD9"/>
    <w:rsid w:val="000D1D9B"/>
    <w:rsid w:val="000D2612"/>
    <w:rsid w:val="000D2792"/>
    <w:rsid w:val="000D27D9"/>
    <w:rsid w:val="000D2AD5"/>
    <w:rsid w:val="000D31DE"/>
    <w:rsid w:val="000D37EA"/>
    <w:rsid w:val="000D45F1"/>
    <w:rsid w:val="000D46F4"/>
    <w:rsid w:val="000D4BC8"/>
    <w:rsid w:val="000D5B3E"/>
    <w:rsid w:val="000D607B"/>
    <w:rsid w:val="000D654E"/>
    <w:rsid w:val="000D69F4"/>
    <w:rsid w:val="000D6DD0"/>
    <w:rsid w:val="000D6F57"/>
    <w:rsid w:val="000D7EFD"/>
    <w:rsid w:val="000E0208"/>
    <w:rsid w:val="000E0409"/>
    <w:rsid w:val="000E07CD"/>
    <w:rsid w:val="000E08C1"/>
    <w:rsid w:val="000E10BF"/>
    <w:rsid w:val="000E13AB"/>
    <w:rsid w:val="000E1981"/>
    <w:rsid w:val="000E19B5"/>
    <w:rsid w:val="000E1F4C"/>
    <w:rsid w:val="000E2625"/>
    <w:rsid w:val="000E286C"/>
    <w:rsid w:val="000E2AAA"/>
    <w:rsid w:val="000E2DA2"/>
    <w:rsid w:val="000E3467"/>
    <w:rsid w:val="000E3B89"/>
    <w:rsid w:val="000E3E93"/>
    <w:rsid w:val="000E3FF1"/>
    <w:rsid w:val="000E4A37"/>
    <w:rsid w:val="000E4E34"/>
    <w:rsid w:val="000E5381"/>
    <w:rsid w:val="000E59FC"/>
    <w:rsid w:val="000E5DF9"/>
    <w:rsid w:val="000E604A"/>
    <w:rsid w:val="000E62B1"/>
    <w:rsid w:val="000E6315"/>
    <w:rsid w:val="000E64BF"/>
    <w:rsid w:val="000E6540"/>
    <w:rsid w:val="000E65B4"/>
    <w:rsid w:val="000E6C48"/>
    <w:rsid w:val="000E6C8F"/>
    <w:rsid w:val="000E75C6"/>
    <w:rsid w:val="000E79B4"/>
    <w:rsid w:val="000E79E5"/>
    <w:rsid w:val="000F0657"/>
    <w:rsid w:val="000F06FD"/>
    <w:rsid w:val="000F08F5"/>
    <w:rsid w:val="000F09DA"/>
    <w:rsid w:val="000F0D78"/>
    <w:rsid w:val="000F1409"/>
    <w:rsid w:val="000F183F"/>
    <w:rsid w:val="000F1F8D"/>
    <w:rsid w:val="000F2065"/>
    <w:rsid w:val="000F22CF"/>
    <w:rsid w:val="000F2488"/>
    <w:rsid w:val="000F2530"/>
    <w:rsid w:val="000F267A"/>
    <w:rsid w:val="000F3618"/>
    <w:rsid w:val="000F3C29"/>
    <w:rsid w:val="000F3C47"/>
    <w:rsid w:val="000F3F1B"/>
    <w:rsid w:val="000F412F"/>
    <w:rsid w:val="000F4181"/>
    <w:rsid w:val="000F44BE"/>
    <w:rsid w:val="000F4AAF"/>
    <w:rsid w:val="000F4B91"/>
    <w:rsid w:val="000F5580"/>
    <w:rsid w:val="000F5752"/>
    <w:rsid w:val="000F57C3"/>
    <w:rsid w:val="000F59DE"/>
    <w:rsid w:val="000F643F"/>
    <w:rsid w:val="000F6BE5"/>
    <w:rsid w:val="000F6E94"/>
    <w:rsid w:val="000F71AF"/>
    <w:rsid w:val="000F73AE"/>
    <w:rsid w:val="000F7417"/>
    <w:rsid w:val="000F7824"/>
    <w:rsid w:val="00100316"/>
    <w:rsid w:val="00100374"/>
    <w:rsid w:val="0010113D"/>
    <w:rsid w:val="00101193"/>
    <w:rsid w:val="00101946"/>
    <w:rsid w:val="00101CB4"/>
    <w:rsid w:val="0010263C"/>
    <w:rsid w:val="001027E8"/>
    <w:rsid w:val="00103311"/>
    <w:rsid w:val="0010341C"/>
    <w:rsid w:val="0010351D"/>
    <w:rsid w:val="001036D5"/>
    <w:rsid w:val="00103A37"/>
    <w:rsid w:val="00103B38"/>
    <w:rsid w:val="00103BF2"/>
    <w:rsid w:val="001040F0"/>
    <w:rsid w:val="001046C9"/>
    <w:rsid w:val="0010485E"/>
    <w:rsid w:val="00104B64"/>
    <w:rsid w:val="0010504A"/>
    <w:rsid w:val="001051FC"/>
    <w:rsid w:val="00105FC3"/>
    <w:rsid w:val="00106150"/>
    <w:rsid w:val="00106939"/>
    <w:rsid w:val="00106EA1"/>
    <w:rsid w:val="001071D2"/>
    <w:rsid w:val="001075F8"/>
    <w:rsid w:val="00110EAF"/>
    <w:rsid w:val="0011144E"/>
    <w:rsid w:val="0011173C"/>
    <w:rsid w:val="00111883"/>
    <w:rsid w:val="0011195E"/>
    <w:rsid w:val="00111B36"/>
    <w:rsid w:val="00112651"/>
    <w:rsid w:val="00112F21"/>
    <w:rsid w:val="0011300E"/>
    <w:rsid w:val="001132C8"/>
    <w:rsid w:val="00113388"/>
    <w:rsid w:val="00113444"/>
    <w:rsid w:val="00113620"/>
    <w:rsid w:val="00113D89"/>
    <w:rsid w:val="00114150"/>
    <w:rsid w:val="00114A84"/>
    <w:rsid w:val="00114D01"/>
    <w:rsid w:val="00115247"/>
    <w:rsid w:val="001155E7"/>
    <w:rsid w:val="00115EAD"/>
    <w:rsid w:val="0011638B"/>
    <w:rsid w:val="00116463"/>
    <w:rsid w:val="0011690A"/>
    <w:rsid w:val="00116988"/>
    <w:rsid w:val="00116AA0"/>
    <w:rsid w:val="00116ACE"/>
    <w:rsid w:val="00116FBB"/>
    <w:rsid w:val="00117403"/>
    <w:rsid w:val="00120985"/>
    <w:rsid w:val="00120BFD"/>
    <w:rsid w:val="001219BB"/>
    <w:rsid w:val="00122A74"/>
    <w:rsid w:val="001232D6"/>
    <w:rsid w:val="00123365"/>
    <w:rsid w:val="00123543"/>
    <w:rsid w:val="0012405F"/>
    <w:rsid w:val="001244F8"/>
    <w:rsid w:val="001247CA"/>
    <w:rsid w:val="00124907"/>
    <w:rsid w:val="00124D21"/>
    <w:rsid w:val="00124D72"/>
    <w:rsid w:val="0012506A"/>
    <w:rsid w:val="00125D6B"/>
    <w:rsid w:val="00125D6D"/>
    <w:rsid w:val="001262A1"/>
    <w:rsid w:val="001263B0"/>
    <w:rsid w:val="00126784"/>
    <w:rsid w:val="001268FD"/>
    <w:rsid w:val="00127A88"/>
    <w:rsid w:val="00130008"/>
    <w:rsid w:val="001301CD"/>
    <w:rsid w:val="00130407"/>
    <w:rsid w:val="00130B54"/>
    <w:rsid w:val="0013106A"/>
    <w:rsid w:val="001310A2"/>
    <w:rsid w:val="00131E91"/>
    <w:rsid w:val="0013312C"/>
    <w:rsid w:val="001333F1"/>
    <w:rsid w:val="00133760"/>
    <w:rsid w:val="00133A06"/>
    <w:rsid w:val="00133C2B"/>
    <w:rsid w:val="001343EB"/>
    <w:rsid w:val="00134447"/>
    <w:rsid w:val="001349C4"/>
    <w:rsid w:val="00134D27"/>
    <w:rsid w:val="00134E7A"/>
    <w:rsid w:val="0013524E"/>
    <w:rsid w:val="00135632"/>
    <w:rsid w:val="00135FF0"/>
    <w:rsid w:val="0013626C"/>
    <w:rsid w:val="00137149"/>
    <w:rsid w:val="00137293"/>
    <w:rsid w:val="0013753E"/>
    <w:rsid w:val="001376FC"/>
    <w:rsid w:val="001409A5"/>
    <w:rsid w:val="001409F2"/>
    <w:rsid w:val="00140B2C"/>
    <w:rsid w:val="00141128"/>
    <w:rsid w:val="0014180C"/>
    <w:rsid w:val="0014182D"/>
    <w:rsid w:val="001418FA"/>
    <w:rsid w:val="00141A34"/>
    <w:rsid w:val="00141B69"/>
    <w:rsid w:val="00142291"/>
    <w:rsid w:val="001427FA"/>
    <w:rsid w:val="0014297E"/>
    <w:rsid w:val="00142D73"/>
    <w:rsid w:val="00143BD4"/>
    <w:rsid w:val="0014449A"/>
    <w:rsid w:val="0014519E"/>
    <w:rsid w:val="001452EE"/>
    <w:rsid w:val="0014585F"/>
    <w:rsid w:val="00145999"/>
    <w:rsid w:val="00145E7A"/>
    <w:rsid w:val="0014671A"/>
    <w:rsid w:val="00146A63"/>
    <w:rsid w:val="00146BD2"/>
    <w:rsid w:val="00146D44"/>
    <w:rsid w:val="001470FE"/>
    <w:rsid w:val="0014758A"/>
    <w:rsid w:val="001475FF"/>
    <w:rsid w:val="00150375"/>
    <w:rsid w:val="00150C54"/>
    <w:rsid w:val="00151287"/>
    <w:rsid w:val="0015171D"/>
    <w:rsid w:val="00151BF7"/>
    <w:rsid w:val="00151CF6"/>
    <w:rsid w:val="001522D7"/>
    <w:rsid w:val="00152588"/>
    <w:rsid w:val="001525F4"/>
    <w:rsid w:val="00152666"/>
    <w:rsid w:val="00152863"/>
    <w:rsid w:val="0015288C"/>
    <w:rsid w:val="00152EA6"/>
    <w:rsid w:val="001531B5"/>
    <w:rsid w:val="0015358F"/>
    <w:rsid w:val="0015383C"/>
    <w:rsid w:val="00153899"/>
    <w:rsid w:val="00153977"/>
    <w:rsid w:val="0015439B"/>
    <w:rsid w:val="0015457A"/>
    <w:rsid w:val="00154C46"/>
    <w:rsid w:val="0015530B"/>
    <w:rsid w:val="0015540D"/>
    <w:rsid w:val="001554A0"/>
    <w:rsid w:val="00155CB4"/>
    <w:rsid w:val="00155E92"/>
    <w:rsid w:val="0015641A"/>
    <w:rsid w:val="0015646D"/>
    <w:rsid w:val="00156708"/>
    <w:rsid w:val="00157154"/>
    <w:rsid w:val="00157B2E"/>
    <w:rsid w:val="001601B3"/>
    <w:rsid w:val="0016105A"/>
    <w:rsid w:val="0016159B"/>
    <w:rsid w:val="001618D5"/>
    <w:rsid w:val="0016194B"/>
    <w:rsid w:val="001619D1"/>
    <w:rsid w:val="00161A13"/>
    <w:rsid w:val="00161D66"/>
    <w:rsid w:val="00161D86"/>
    <w:rsid w:val="0016286B"/>
    <w:rsid w:val="00162932"/>
    <w:rsid w:val="00162F4D"/>
    <w:rsid w:val="00163052"/>
    <w:rsid w:val="001630DF"/>
    <w:rsid w:val="00163337"/>
    <w:rsid w:val="00163AF6"/>
    <w:rsid w:val="00163D33"/>
    <w:rsid w:val="00164266"/>
    <w:rsid w:val="001644BC"/>
    <w:rsid w:val="0016456B"/>
    <w:rsid w:val="00164669"/>
    <w:rsid w:val="0016498A"/>
    <w:rsid w:val="00164D38"/>
    <w:rsid w:val="00164F9C"/>
    <w:rsid w:val="001654FE"/>
    <w:rsid w:val="001657C8"/>
    <w:rsid w:val="001658C3"/>
    <w:rsid w:val="00165BB2"/>
    <w:rsid w:val="0016616A"/>
    <w:rsid w:val="00166528"/>
    <w:rsid w:val="00166EA7"/>
    <w:rsid w:val="00166F9E"/>
    <w:rsid w:val="00167CFE"/>
    <w:rsid w:val="00170016"/>
    <w:rsid w:val="00170919"/>
    <w:rsid w:val="001713C7"/>
    <w:rsid w:val="00171856"/>
    <w:rsid w:val="00171BF3"/>
    <w:rsid w:val="00171DB1"/>
    <w:rsid w:val="00172869"/>
    <w:rsid w:val="00172871"/>
    <w:rsid w:val="00172A8E"/>
    <w:rsid w:val="00172B3F"/>
    <w:rsid w:val="00172BE3"/>
    <w:rsid w:val="00172D16"/>
    <w:rsid w:val="00172D45"/>
    <w:rsid w:val="00173679"/>
    <w:rsid w:val="00173734"/>
    <w:rsid w:val="0017373A"/>
    <w:rsid w:val="00173C31"/>
    <w:rsid w:val="00174041"/>
    <w:rsid w:val="00174733"/>
    <w:rsid w:val="001749E3"/>
    <w:rsid w:val="00174B19"/>
    <w:rsid w:val="00174D68"/>
    <w:rsid w:val="00175109"/>
    <w:rsid w:val="00175398"/>
    <w:rsid w:val="00175EB7"/>
    <w:rsid w:val="001767BA"/>
    <w:rsid w:val="001768A0"/>
    <w:rsid w:val="00176E96"/>
    <w:rsid w:val="00177167"/>
    <w:rsid w:val="001775A9"/>
    <w:rsid w:val="00177606"/>
    <w:rsid w:val="00180391"/>
    <w:rsid w:val="00180B46"/>
    <w:rsid w:val="00181449"/>
    <w:rsid w:val="0018163C"/>
    <w:rsid w:val="001816F8"/>
    <w:rsid w:val="00181940"/>
    <w:rsid w:val="0018195B"/>
    <w:rsid w:val="00181E6D"/>
    <w:rsid w:val="001823E2"/>
    <w:rsid w:val="00182EB8"/>
    <w:rsid w:val="00183E22"/>
    <w:rsid w:val="00183FAE"/>
    <w:rsid w:val="001841D1"/>
    <w:rsid w:val="001842AB"/>
    <w:rsid w:val="0018459B"/>
    <w:rsid w:val="001848E6"/>
    <w:rsid w:val="00184983"/>
    <w:rsid w:val="00185003"/>
    <w:rsid w:val="001858A0"/>
    <w:rsid w:val="001859F0"/>
    <w:rsid w:val="00185B3B"/>
    <w:rsid w:val="00185CDF"/>
    <w:rsid w:val="00185EAE"/>
    <w:rsid w:val="0018631D"/>
    <w:rsid w:val="001864A1"/>
    <w:rsid w:val="00187151"/>
    <w:rsid w:val="00187366"/>
    <w:rsid w:val="00187AA8"/>
    <w:rsid w:val="00187AD5"/>
    <w:rsid w:val="00187CDD"/>
    <w:rsid w:val="00187FF1"/>
    <w:rsid w:val="001902E6"/>
    <w:rsid w:val="00190931"/>
    <w:rsid w:val="00190B63"/>
    <w:rsid w:val="00190BA3"/>
    <w:rsid w:val="00191B9B"/>
    <w:rsid w:val="00191CF5"/>
    <w:rsid w:val="00191D01"/>
    <w:rsid w:val="001925CD"/>
    <w:rsid w:val="00192B87"/>
    <w:rsid w:val="00193C40"/>
    <w:rsid w:val="00193D40"/>
    <w:rsid w:val="001941ED"/>
    <w:rsid w:val="001943B1"/>
    <w:rsid w:val="00194643"/>
    <w:rsid w:val="00194CAE"/>
    <w:rsid w:val="00194E47"/>
    <w:rsid w:val="00195306"/>
    <w:rsid w:val="001955EE"/>
    <w:rsid w:val="0019589C"/>
    <w:rsid w:val="00195AD9"/>
    <w:rsid w:val="00195AE0"/>
    <w:rsid w:val="0019663D"/>
    <w:rsid w:val="00196D0E"/>
    <w:rsid w:val="0019704A"/>
    <w:rsid w:val="00197FA8"/>
    <w:rsid w:val="001A0044"/>
    <w:rsid w:val="001A054C"/>
    <w:rsid w:val="001A0634"/>
    <w:rsid w:val="001A0D30"/>
    <w:rsid w:val="001A0ED8"/>
    <w:rsid w:val="001A0F6B"/>
    <w:rsid w:val="001A11C7"/>
    <w:rsid w:val="001A137A"/>
    <w:rsid w:val="001A21EC"/>
    <w:rsid w:val="001A26E3"/>
    <w:rsid w:val="001A2A1B"/>
    <w:rsid w:val="001A2CC3"/>
    <w:rsid w:val="001A332F"/>
    <w:rsid w:val="001A3C9C"/>
    <w:rsid w:val="001A3CAE"/>
    <w:rsid w:val="001A3DC7"/>
    <w:rsid w:val="001A3DF4"/>
    <w:rsid w:val="001A3F71"/>
    <w:rsid w:val="001A498B"/>
    <w:rsid w:val="001A4E95"/>
    <w:rsid w:val="001A5166"/>
    <w:rsid w:val="001A53D8"/>
    <w:rsid w:val="001A5628"/>
    <w:rsid w:val="001A5C2C"/>
    <w:rsid w:val="001A6D22"/>
    <w:rsid w:val="001A7BA9"/>
    <w:rsid w:val="001A7CB6"/>
    <w:rsid w:val="001A7ED2"/>
    <w:rsid w:val="001A7EED"/>
    <w:rsid w:val="001B01B4"/>
    <w:rsid w:val="001B0877"/>
    <w:rsid w:val="001B0ED7"/>
    <w:rsid w:val="001B11C7"/>
    <w:rsid w:val="001B121A"/>
    <w:rsid w:val="001B126E"/>
    <w:rsid w:val="001B1A9E"/>
    <w:rsid w:val="001B1B53"/>
    <w:rsid w:val="001B22BA"/>
    <w:rsid w:val="001B230E"/>
    <w:rsid w:val="001B2549"/>
    <w:rsid w:val="001B271C"/>
    <w:rsid w:val="001B2BA8"/>
    <w:rsid w:val="001B302B"/>
    <w:rsid w:val="001B369F"/>
    <w:rsid w:val="001B3A98"/>
    <w:rsid w:val="001B3DEE"/>
    <w:rsid w:val="001B3DF5"/>
    <w:rsid w:val="001B41D6"/>
    <w:rsid w:val="001B42F3"/>
    <w:rsid w:val="001B43AE"/>
    <w:rsid w:val="001B48BB"/>
    <w:rsid w:val="001B4A0D"/>
    <w:rsid w:val="001B4B38"/>
    <w:rsid w:val="001B5718"/>
    <w:rsid w:val="001B642F"/>
    <w:rsid w:val="001B648C"/>
    <w:rsid w:val="001B6790"/>
    <w:rsid w:val="001B6A9C"/>
    <w:rsid w:val="001B70B4"/>
    <w:rsid w:val="001B7117"/>
    <w:rsid w:val="001B7659"/>
    <w:rsid w:val="001B7CEC"/>
    <w:rsid w:val="001B7E40"/>
    <w:rsid w:val="001C049A"/>
    <w:rsid w:val="001C06DA"/>
    <w:rsid w:val="001C0A83"/>
    <w:rsid w:val="001C1008"/>
    <w:rsid w:val="001C154F"/>
    <w:rsid w:val="001C15E7"/>
    <w:rsid w:val="001C1600"/>
    <w:rsid w:val="001C163E"/>
    <w:rsid w:val="001C1941"/>
    <w:rsid w:val="001C1C8A"/>
    <w:rsid w:val="001C2593"/>
    <w:rsid w:val="001C2629"/>
    <w:rsid w:val="001C294A"/>
    <w:rsid w:val="001C2A87"/>
    <w:rsid w:val="001C2CD2"/>
    <w:rsid w:val="001C2DCD"/>
    <w:rsid w:val="001C3689"/>
    <w:rsid w:val="001C4249"/>
    <w:rsid w:val="001C4266"/>
    <w:rsid w:val="001C44FB"/>
    <w:rsid w:val="001C4553"/>
    <w:rsid w:val="001C4576"/>
    <w:rsid w:val="001C50DB"/>
    <w:rsid w:val="001C5B82"/>
    <w:rsid w:val="001C5D55"/>
    <w:rsid w:val="001C65B0"/>
    <w:rsid w:val="001C7049"/>
    <w:rsid w:val="001C7091"/>
    <w:rsid w:val="001C76A4"/>
    <w:rsid w:val="001C7750"/>
    <w:rsid w:val="001C7A94"/>
    <w:rsid w:val="001C7AE2"/>
    <w:rsid w:val="001C7C31"/>
    <w:rsid w:val="001C7FAF"/>
    <w:rsid w:val="001CFF7D"/>
    <w:rsid w:val="001D05B9"/>
    <w:rsid w:val="001D06CE"/>
    <w:rsid w:val="001D106D"/>
    <w:rsid w:val="001D176C"/>
    <w:rsid w:val="001D19DC"/>
    <w:rsid w:val="001D2138"/>
    <w:rsid w:val="001D23DD"/>
    <w:rsid w:val="001D261C"/>
    <w:rsid w:val="001D2749"/>
    <w:rsid w:val="001D2A46"/>
    <w:rsid w:val="001D2A8D"/>
    <w:rsid w:val="001D330E"/>
    <w:rsid w:val="001D3999"/>
    <w:rsid w:val="001D3AB9"/>
    <w:rsid w:val="001D3C93"/>
    <w:rsid w:val="001D4351"/>
    <w:rsid w:val="001D4BF7"/>
    <w:rsid w:val="001D4FD9"/>
    <w:rsid w:val="001D59DE"/>
    <w:rsid w:val="001D609C"/>
    <w:rsid w:val="001D609D"/>
    <w:rsid w:val="001D6730"/>
    <w:rsid w:val="001D6EEE"/>
    <w:rsid w:val="001D7392"/>
    <w:rsid w:val="001D751D"/>
    <w:rsid w:val="001D7A7A"/>
    <w:rsid w:val="001D7C11"/>
    <w:rsid w:val="001E011D"/>
    <w:rsid w:val="001E042D"/>
    <w:rsid w:val="001E063E"/>
    <w:rsid w:val="001E0EBF"/>
    <w:rsid w:val="001E1071"/>
    <w:rsid w:val="001E10D0"/>
    <w:rsid w:val="001E1393"/>
    <w:rsid w:val="001E168C"/>
    <w:rsid w:val="001E1D46"/>
    <w:rsid w:val="001E239E"/>
    <w:rsid w:val="001E25BD"/>
    <w:rsid w:val="001E2A7E"/>
    <w:rsid w:val="001E2EE3"/>
    <w:rsid w:val="001E3403"/>
    <w:rsid w:val="001E427D"/>
    <w:rsid w:val="001E49CF"/>
    <w:rsid w:val="001E4ED3"/>
    <w:rsid w:val="001E4F5C"/>
    <w:rsid w:val="001E7300"/>
    <w:rsid w:val="001E732F"/>
    <w:rsid w:val="001E739A"/>
    <w:rsid w:val="001E7B17"/>
    <w:rsid w:val="001F0611"/>
    <w:rsid w:val="001F0620"/>
    <w:rsid w:val="001F0AC7"/>
    <w:rsid w:val="001F0E02"/>
    <w:rsid w:val="001F0F70"/>
    <w:rsid w:val="001F0FD2"/>
    <w:rsid w:val="001F1054"/>
    <w:rsid w:val="001F1062"/>
    <w:rsid w:val="001F13C5"/>
    <w:rsid w:val="001F15B3"/>
    <w:rsid w:val="001F1A6D"/>
    <w:rsid w:val="001F1B27"/>
    <w:rsid w:val="001F1B5A"/>
    <w:rsid w:val="001F1E42"/>
    <w:rsid w:val="001F1FE8"/>
    <w:rsid w:val="001F21F9"/>
    <w:rsid w:val="001F22A4"/>
    <w:rsid w:val="001F2497"/>
    <w:rsid w:val="001F286D"/>
    <w:rsid w:val="001F28AE"/>
    <w:rsid w:val="001F3E68"/>
    <w:rsid w:val="001F4E1C"/>
    <w:rsid w:val="001F51CA"/>
    <w:rsid w:val="001F5E87"/>
    <w:rsid w:val="001F5F6C"/>
    <w:rsid w:val="001F73C3"/>
    <w:rsid w:val="001F74D4"/>
    <w:rsid w:val="001F74E7"/>
    <w:rsid w:val="001F7A41"/>
    <w:rsid w:val="00200181"/>
    <w:rsid w:val="002005D1"/>
    <w:rsid w:val="002008C4"/>
    <w:rsid w:val="00200BC7"/>
    <w:rsid w:val="002019AF"/>
    <w:rsid w:val="00201B0C"/>
    <w:rsid w:val="00201B6D"/>
    <w:rsid w:val="00201F35"/>
    <w:rsid w:val="002021DF"/>
    <w:rsid w:val="0020258A"/>
    <w:rsid w:val="0020261F"/>
    <w:rsid w:val="002032F6"/>
    <w:rsid w:val="00203A4D"/>
    <w:rsid w:val="00203AE7"/>
    <w:rsid w:val="00203B2F"/>
    <w:rsid w:val="00203BA1"/>
    <w:rsid w:val="00203DAB"/>
    <w:rsid w:val="00203F5F"/>
    <w:rsid w:val="0020405F"/>
    <w:rsid w:val="00204075"/>
    <w:rsid w:val="002045A6"/>
    <w:rsid w:val="002045D2"/>
    <w:rsid w:val="00204645"/>
    <w:rsid w:val="00204FAC"/>
    <w:rsid w:val="00205689"/>
    <w:rsid w:val="00205803"/>
    <w:rsid w:val="002059AF"/>
    <w:rsid w:val="00205B83"/>
    <w:rsid w:val="00205D30"/>
    <w:rsid w:val="00206565"/>
    <w:rsid w:val="00206CA9"/>
    <w:rsid w:val="0020780C"/>
    <w:rsid w:val="0020792A"/>
    <w:rsid w:val="002105B2"/>
    <w:rsid w:val="00210FBD"/>
    <w:rsid w:val="002110A9"/>
    <w:rsid w:val="002130D6"/>
    <w:rsid w:val="0021330B"/>
    <w:rsid w:val="00213B4A"/>
    <w:rsid w:val="00213F7D"/>
    <w:rsid w:val="0021453E"/>
    <w:rsid w:val="0021488C"/>
    <w:rsid w:val="00214C12"/>
    <w:rsid w:val="00214F30"/>
    <w:rsid w:val="00214F54"/>
    <w:rsid w:val="00215E04"/>
    <w:rsid w:val="00216670"/>
    <w:rsid w:val="00216FAC"/>
    <w:rsid w:val="00217622"/>
    <w:rsid w:val="0021777A"/>
    <w:rsid w:val="002200C8"/>
    <w:rsid w:val="002204CF"/>
    <w:rsid w:val="00220951"/>
    <w:rsid w:val="00220A7A"/>
    <w:rsid w:val="00221001"/>
    <w:rsid w:val="002212D1"/>
    <w:rsid w:val="00221581"/>
    <w:rsid w:val="00221D1E"/>
    <w:rsid w:val="002228E8"/>
    <w:rsid w:val="0022310F"/>
    <w:rsid w:val="002231A5"/>
    <w:rsid w:val="00223588"/>
    <w:rsid w:val="0022364B"/>
    <w:rsid w:val="002238F3"/>
    <w:rsid w:val="002246FE"/>
    <w:rsid w:val="00224720"/>
    <w:rsid w:val="00224881"/>
    <w:rsid w:val="002249D6"/>
    <w:rsid w:val="00224C9D"/>
    <w:rsid w:val="00225185"/>
    <w:rsid w:val="0022523B"/>
    <w:rsid w:val="00225339"/>
    <w:rsid w:val="002258F4"/>
    <w:rsid w:val="002263A4"/>
    <w:rsid w:val="00226A2A"/>
    <w:rsid w:val="00226A68"/>
    <w:rsid w:val="00226C15"/>
    <w:rsid w:val="00226DC7"/>
    <w:rsid w:val="00226EC9"/>
    <w:rsid w:val="00227796"/>
    <w:rsid w:val="00230CC0"/>
    <w:rsid w:val="002312F3"/>
    <w:rsid w:val="002313A9"/>
    <w:rsid w:val="00231979"/>
    <w:rsid w:val="0023244E"/>
    <w:rsid w:val="002326E5"/>
    <w:rsid w:val="00232885"/>
    <w:rsid w:val="00233565"/>
    <w:rsid w:val="00233E31"/>
    <w:rsid w:val="0023450F"/>
    <w:rsid w:val="002347E1"/>
    <w:rsid w:val="00234FA4"/>
    <w:rsid w:val="002357B7"/>
    <w:rsid w:val="00235837"/>
    <w:rsid w:val="00235F2C"/>
    <w:rsid w:val="002363B5"/>
    <w:rsid w:val="00237187"/>
    <w:rsid w:val="00237A71"/>
    <w:rsid w:val="00240ADF"/>
    <w:rsid w:val="00240B38"/>
    <w:rsid w:val="00240ED1"/>
    <w:rsid w:val="00240EEA"/>
    <w:rsid w:val="002411D5"/>
    <w:rsid w:val="00241A56"/>
    <w:rsid w:val="00241AA0"/>
    <w:rsid w:val="00241BE0"/>
    <w:rsid w:val="0024205D"/>
    <w:rsid w:val="00242330"/>
    <w:rsid w:val="00242D39"/>
    <w:rsid w:val="00242D61"/>
    <w:rsid w:val="002433D6"/>
    <w:rsid w:val="00243836"/>
    <w:rsid w:val="0024409A"/>
    <w:rsid w:val="0024451E"/>
    <w:rsid w:val="002447F2"/>
    <w:rsid w:val="0024517C"/>
    <w:rsid w:val="002452C8"/>
    <w:rsid w:val="00245336"/>
    <w:rsid w:val="00245E62"/>
    <w:rsid w:val="00245FCE"/>
    <w:rsid w:val="002465CF"/>
    <w:rsid w:val="0024707B"/>
    <w:rsid w:val="00247AFF"/>
    <w:rsid w:val="002506D9"/>
    <w:rsid w:val="002508B1"/>
    <w:rsid w:val="002509E1"/>
    <w:rsid w:val="002510DC"/>
    <w:rsid w:val="00251211"/>
    <w:rsid w:val="0025171D"/>
    <w:rsid w:val="00251847"/>
    <w:rsid w:val="00251CBA"/>
    <w:rsid w:val="0025224C"/>
    <w:rsid w:val="00252A2E"/>
    <w:rsid w:val="00253155"/>
    <w:rsid w:val="00253525"/>
    <w:rsid w:val="00253527"/>
    <w:rsid w:val="00253A3C"/>
    <w:rsid w:val="00254070"/>
    <w:rsid w:val="002541B1"/>
    <w:rsid w:val="0025421E"/>
    <w:rsid w:val="002546A3"/>
    <w:rsid w:val="00254B1C"/>
    <w:rsid w:val="002559A0"/>
    <w:rsid w:val="00255BA3"/>
    <w:rsid w:val="002566B2"/>
    <w:rsid w:val="00256955"/>
    <w:rsid w:val="002569AF"/>
    <w:rsid w:val="00256F27"/>
    <w:rsid w:val="00257AB1"/>
    <w:rsid w:val="00257D3C"/>
    <w:rsid w:val="0026043B"/>
    <w:rsid w:val="00260508"/>
    <w:rsid w:val="00260586"/>
    <w:rsid w:val="002608A7"/>
    <w:rsid w:val="00260C58"/>
    <w:rsid w:val="0026139C"/>
    <w:rsid w:val="002617A9"/>
    <w:rsid w:val="002617B2"/>
    <w:rsid w:val="00261842"/>
    <w:rsid w:val="00261E3C"/>
    <w:rsid w:val="00262075"/>
    <w:rsid w:val="00262869"/>
    <w:rsid w:val="00262FE4"/>
    <w:rsid w:val="00263111"/>
    <w:rsid w:val="002633B0"/>
    <w:rsid w:val="00263BE2"/>
    <w:rsid w:val="00263C23"/>
    <w:rsid w:val="00263C98"/>
    <w:rsid w:val="00263FB3"/>
    <w:rsid w:val="00264555"/>
    <w:rsid w:val="00264772"/>
    <w:rsid w:val="00265624"/>
    <w:rsid w:val="00265B64"/>
    <w:rsid w:val="00265D33"/>
    <w:rsid w:val="00265F3D"/>
    <w:rsid w:val="002665B7"/>
    <w:rsid w:val="00266D37"/>
    <w:rsid w:val="0026790B"/>
    <w:rsid w:val="00267A75"/>
    <w:rsid w:val="00270723"/>
    <w:rsid w:val="00270922"/>
    <w:rsid w:val="0027094E"/>
    <w:rsid w:val="00270C61"/>
    <w:rsid w:val="00270F7D"/>
    <w:rsid w:val="002710FA"/>
    <w:rsid w:val="00271B03"/>
    <w:rsid w:val="00272AEB"/>
    <w:rsid w:val="00272FBF"/>
    <w:rsid w:val="00273E64"/>
    <w:rsid w:val="00274015"/>
    <w:rsid w:val="00274448"/>
    <w:rsid w:val="00275440"/>
    <w:rsid w:val="00275711"/>
    <w:rsid w:val="00275884"/>
    <w:rsid w:val="002759E2"/>
    <w:rsid w:val="00276C91"/>
    <w:rsid w:val="00276CC7"/>
    <w:rsid w:val="00277004"/>
    <w:rsid w:val="0027715D"/>
    <w:rsid w:val="0027730B"/>
    <w:rsid w:val="00277393"/>
    <w:rsid w:val="002779F8"/>
    <w:rsid w:val="00277C3A"/>
    <w:rsid w:val="00277F27"/>
    <w:rsid w:val="00277F8E"/>
    <w:rsid w:val="00280099"/>
    <w:rsid w:val="002809BA"/>
    <w:rsid w:val="002810A3"/>
    <w:rsid w:val="00281312"/>
    <w:rsid w:val="0028163A"/>
    <w:rsid w:val="00281774"/>
    <w:rsid w:val="0028198F"/>
    <w:rsid w:val="00281C6B"/>
    <w:rsid w:val="00281CC4"/>
    <w:rsid w:val="002824E5"/>
    <w:rsid w:val="0028274A"/>
    <w:rsid w:val="00282AB4"/>
    <w:rsid w:val="00282C7B"/>
    <w:rsid w:val="00282D00"/>
    <w:rsid w:val="0028311A"/>
    <w:rsid w:val="00283382"/>
    <w:rsid w:val="002834A4"/>
    <w:rsid w:val="00283623"/>
    <w:rsid w:val="00284104"/>
    <w:rsid w:val="002843FB"/>
    <w:rsid w:val="0028489E"/>
    <w:rsid w:val="00284EDF"/>
    <w:rsid w:val="00285481"/>
    <w:rsid w:val="0028558F"/>
    <w:rsid w:val="002859FB"/>
    <w:rsid w:val="002862E8"/>
    <w:rsid w:val="002867EB"/>
    <w:rsid w:val="0028690B"/>
    <w:rsid w:val="00286B0D"/>
    <w:rsid w:val="00286B50"/>
    <w:rsid w:val="00286D97"/>
    <w:rsid w:val="00286E86"/>
    <w:rsid w:val="002870CF"/>
    <w:rsid w:val="002871F0"/>
    <w:rsid w:val="00287340"/>
    <w:rsid w:val="0028735A"/>
    <w:rsid w:val="00287EC6"/>
    <w:rsid w:val="00287F41"/>
    <w:rsid w:val="00290CC6"/>
    <w:rsid w:val="002915BF"/>
    <w:rsid w:val="002916A2"/>
    <w:rsid w:val="002917D3"/>
    <w:rsid w:val="00291E32"/>
    <w:rsid w:val="00291E9E"/>
    <w:rsid w:val="00291F0D"/>
    <w:rsid w:val="002920EA"/>
    <w:rsid w:val="00292846"/>
    <w:rsid w:val="002929E8"/>
    <w:rsid w:val="00293443"/>
    <w:rsid w:val="0029362B"/>
    <w:rsid w:val="00293D77"/>
    <w:rsid w:val="002942C4"/>
    <w:rsid w:val="00294687"/>
    <w:rsid w:val="00294B21"/>
    <w:rsid w:val="00294C42"/>
    <w:rsid w:val="0029595B"/>
    <w:rsid w:val="002960F1"/>
    <w:rsid w:val="00296785"/>
    <w:rsid w:val="002968A0"/>
    <w:rsid w:val="002968B4"/>
    <w:rsid w:val="002968D7"/>
    <w:rsid w:val="00296F4F"/>
    <w:rsid w:val="002970D9"/>
    <w:rsid w:val="00297481"/>
    <w:rsid w:val="00297564"/>
    <w:rsid w:val="002979CB"/>
    <w:rsid w:val="0029BDA2"/>
    <w:rsid w:val="002A0136"/>
    <w:rsid w:val="002A05CD"/>
    <w:rsid w:val="002A07F7"/>
    <w:rsid w:val="002A1D48"/>
    <w:rsid w:val="002A2B46"/>
    <w:rsid w:val="002A2CF2"/>
    <w:rsid w:val="002A30F4"/>
    <w:rsid w:val="002A320A"/>
    <w:rsid w:val="002A3354"/>
    <w:rsid w:val="002A3C73"/>
    <w:rsid w:val="002A3CB3"/>
    <w:rsid w:val="002A4749"/>
    <w:rsid w:val="002A5035"/>
    <w:rsid w:val="002A5281"/>
    <w:rsid w:val="002A561C"/>
    <w:rsid w:val="002A5796"/>
    <w:rsid w:val="002A598B"/>
    <w:rsid w:val="002A5F78"/>
    <w:rsid w:val="002A6057"/>
    <w:rsid w:val="002A63B6"/>
    <w:rsid w:val="002A6BB7"/>
    <w:rsid w:val="002A73C1"/>
    <w:rsid w:val="002A7626"/>
    <w:rsid w:val="002A7A13"/>
    <w:rsid w:val="002A7D06"/>
    <w:rsid w:val="002B02CE"/>
    <w:rsid w:val="002B064C"/>
    <w:rsid w:val="002B0D2E"/>
    <w:rsid w:val="002B1A72"/>
    <w:rsid w:val="002B1CD9"/>
    <w:rsid w:val="002B20E6"/>
    <w:rsid w:val="002B229C"/>
    <w:rsid w:val="002B2719"/>
    <w:rsid w:val="002B2901"/>
    <w:rsid w:val="002B2936"/>
    <w:rsid w:val="002B2DB0"/>
    <w:rsid w:val="002B2EF4"/>
    <w:rsid w:val="002B353F"/>
    <w:rsid w:val="002B3788"/>
    <w:rsid w:val="002B3DC9"/>
    <w:rsid w:val="002B3EDC"/>
    <w:rsid w:val="002B41A4"/>
    <w:rsid w:val="002B5101"/>
    <w:rsid w:val="002B55A1"/>
    <w:rsid w:val="002B5766"/>
    <w:rsid w:val="002B5FD9"/>
    <w:rsid w:val="002B6277"/>
    <w:rsid w:val="002B6959"/>
    <w:rsid w:val="002B6A23"/>
    <w:rsid w:val="002B6C2F"/>
    <w:rsid w:val="002B737E"/>
    <w:rsid w:val="002B7572"/>
    <w:rsid w:val="002B767F"/>
    <w:rsid w:val="002B7A7E"/>
    <w:rsid w:val="002B7D00"/>
    <w:rsid w:val="002B7F8D"/>
    <w:rsid w:val="002C0475"/>
    <w:rsid w:val="002C058E"/>
    <w:rsid w:val="002C06E8"/>
    <w:rsid w:val="002C09B0"/>
    <w:rsid w:val="002C0E3F"/>
    <w:rsid w:val="002C0EEA"/>
    <w:rsid w:val="002C11B5"/>
    <w:rsid w:val="002C19F6"/>
    <w:rsid w:val="002C256F"/>
    <w:rsid w:val="002C3068"/>
    <w:rsid w:val="002C31D6"/>
    <w:rsid w:val="002C36AF"/>
    <w:rsid w:val="002C3956"/>
    <w:rsid w:val="002C3BAA"/>
    <w:rsid w:val="002C3E48"/>
    <w:rsid w:val="002C3F07"/>
    <w:rsid w:val="002C4332"/>
    <w:rsid w:val="002C4355"/>
    <w:rsid w:val="002C4387"/>
    <w:rsid w:val="002C4BD9"/>
    <w:rsid w:val="002C4EB9"/>
    <w:rsid w:val="002C501C"/>
    <w:rsid w:val="002C5745"/>
    <w:rsid w:val="002C5B35"/>
    <w:rsid w:val="002C5D78"/>
    <w:rsid w:val="002C5E73"/>
    <w:rsid w:val="002C695D"/>
    <w:rsid w:val="002C6AF3"/>
    <w:rsid w:val="002C6C2A"/>
    <w:rsid w:val="002C76FD"/>
    <w:rsid w:val="002C771B"/>
    <w:rsid w:val="002C7827"/>
    <w:rsid w:val="002C7972"/>
    <w:rsid w:val="002C79F5"/>
    <w:rsid w:val="002C7C9D"/>
    <w:rsid w:val="002D005A"/>
    <w:rsid w:val="002D052F"/>
    <w:rsid w:val="002D06E3"/>
    <w:rsid w:val="002D074B"/>
    <w:rsid w:val="002D084E"/>
    <w:rsid w:val="002D121D"/>
    <w:rsid w:val="002D12D1"/>
    <w:rsid w:val="002D1314"/>
    <w:rsid w:val="002D1FFB"/>
    <w:rsid w:val="002D2483"/>
    <w:rsid w:val="002D295D"/>
    <w:rsid w:val="002D2C31"/>
    <w:rsid w:val="002D2F3A"/>
    <w:rsid w:val="002D330F"/>
    <w:rsid w:val="002D346A"/>
    <w:rsid w:val="002D3A6E"/>
    <w:rsid w:val="002D4519"/>
    <w:rsid w:val="002D4EB1"/>
    <w:rsid w:val="002D53C9"/>
    <w:rsid w:val="002D5C00"/>
    <w:rsid w:val="002D61A0"/>
    <w:rsid w:val="002D6A6A"/>
    <w:rsid w:val="002D7253"/>
    <w:rsid w:val="002D7331"/>
    <w:rsid w:val="002D744B"/>
    <w:rsid w:val="002D760C"/>
    <w:rsid w:val="002E067B"/>
    <w:rsid w:val="002E09C1"/>
    <w:rsid w:val="002E15DD"/>
    <w:rsid w:val="002E32A7"/>
    <w:rsid w:val="002E3D48"/>
    <w:rsid w:val="002E3E9B"/>
    <w:rsid w:val="002E4178"/>
    <w:rsid w:val="002E49AC"/>
    <w:rsid w:val="002E4B31"/>
    <w:rsid w:val="002E4DB1"/>
    <w:rsid w:val="002E554C"/>
    <w:rsid w:val="002E58A3"/>
    <w:rsid w:val="002E5E67"/>
    <w:rsid w:val="002E6CB7"/>
    <w:rsid w:val="002E71EB"/>
    <w:rsid w:val="002E729F"/>
    <w:rsid w:val="002E736E"/>
    <w:rsid w:val="002E7521"/>
    <w:rsid w:val="002E7F92"/>
    <w:rsid w:val="002F00C5"/>
    <w:rsid w:val="002F039A"/>
    <w:rsid w:val="002F03AD"/>
    <w:rsid w:val="002F0501"/>
    <w:rsid w:val="002F0E46"/>
    <w:rsid w:val="002F1150"/>
    <w:rsid w:val="002F164F"/>
    <w:rsid w:val="002F16D3"/>
    <w:rsid w:val="002F1AC9"/>
    <w:rsid w:val="002F1B64"/>
    <w:rsid w:val="002F1B73"/>
    <w:rsid w:val="002F1E1C"/>
    <w:rsid w:val="002F23FB"/>
    <w:rsid w:val="002F2E06"/>
    <w:rsid w:val="002F3027"/>
    <w:rsid w:val="002F30CB"/>
    <w:rsid w:val="002F31EF"/>
    <w:rsid w:val="002F33A7"/>
    <w:rsid w:val="002F33AF"/>
    <w:rsid w:val="002F39CE"/>
    <w:rsid w:val="002F3FD1"/>
    <w:rsid w:val="002F5562"/>
    <w:rsid w:val="002F5785"/>
    <w:rsid w:val="002F5E76"/>
    <w:rsid w:val="002F5FD2"/>
    <w:rsid w:val="002F6A41"/>
    <w:rsid w:val="002F6B80"/>
    <w:rsid w:val="003001E3"/>
    <w:rsid w:val="003003C9"/>
    <w:rsid w:val="00300FD1"/>
    <w:rsid w:val="003011AD"/>
    <w:rsid w:val="0030168F"/>
    <w:rsid w:val="003019AA"/>
    <w:rsid w:val="00301C43"/>
    <w:rsid w:val="0030229F"/>
    <w:rsid w:val="003022D0"/>
    <w:rsid w:val="00302A16"/>
    <w:rsid w:val="00302BDD"/>
    <w:rsid w:val="003032B5"/>
    <w:rsid w:val="00303690"/>
    <w:rsid w:val="0030375C"/>
    <w:rsid w:val="00303A48"/>
    <w:rsid w:val="00303F3A"/>
    <w:rsid w:val="0030453E"/>
    <w:rsid w:val="00305012"/>
    <w:rsid w:val="00305056"/>
    <w:rsid w:val="00305212"/>
    <w:rsid w:val="0030529E"/>
    <w:rsid w:val="00305562"/>
    <w:rsid w:val="00305661"/>
    <w:rsid w:val="00305922"/>
    <w:rsid w:val="003068E1"/>
    <w:rsid w:val="00307757"/>
    <w:rsid w:val="00307A2C"/>
    <w:rsid w:val="00307A73"/>
    <w:rsid w:val="00307E83"/>
    <w:rsid w:val="00310013"/>
    <w:rsid w:val="00310A1E"/>
    <w:rsid w:val="00310D6D"/>
    <w:rsid w:val="00310F88"/>
    <w:rsid w:val="003120E8"/>
    <w:rsid w:val="00312689"/>
    <w:rsid w:val="00312891"/>
    <w:rsid w:val="00312F9C"/>
    <w:rsid w:val="003132D1"/>
    <w:rsid w:val="00313A51"/>
    <w:rsid w:val="00313BF6"/>
    <w:rsid w:val="00313C9E"/>
    <w:rsid w:val="00313DC4"/>
    <w:rsid w:val="00314364"/>
    <w:rsid w:val="00314511"/>
    <w:rsid w:val="00314BB7"/>
    <w:rsid w:val="00315E44"/>
    <w:rsid w:val="0031610B"/>
    <w:rsid w:val="00316868"/>
    <w:rsid w:val="00316A4A"/>
    <w:rsid w:val="00316F54"/>
    <w:rsid w:val="0031715F"/>
    <w:rsid w:val="00317210"/>
    <w:rsid w:val="00317494"/>
    <w:rsid w:val="0031757D"/>
    <w:rsid w:val="003177A4"/>
    <w:rsid w:val="0031795B"/>
    <w:rsid w:val="00320264"/>
    <w:rsid w:val="00320578"/>
    <w:rsid w:val="00320638"/>
    <w:rsid w:val="0032065D"/>
    <w:rsid w:val="00320674"/>
    <w:rsid w:val="0032069F"/>
    <w:rsid w:val="00320953"/>
    <w:rsid w:val="00321080"/>
    <w:rsid w:val="003210BE"/>
    <w:rsid w:val="00321AB5"/>
    <w:rsid w:val="00321CDA"/>
    <w:rsid w:val="0032209B"/>
    <w:rsid w:val="003220C4"/>
    <w:rsid w:val="00322227"/>
    <w:rsid w:val="003226C4"/>
    <w:rsid w:val="00322A59"/>
    <w:rsid w:val="00322AA0"/>
    <w:rsid w:val="00322DBF"/>
    <w:rsid w:val="00322E13"/>
    <w:rsid w:val="00322FC7"/>
    <w:rsid w:val="003230A4"/>
    <w:rsid w:val="0032339D"/>
    <w:rsid w:val="0032388A"/>
    <w:rsid w:val="00323AB1"/>
    <w:rsid w:val="00323D0B"/>
    <w:rsid w:val="003242A8"/>
    <w:rsid w:val="00325399"/>
    <w:rsid w:val="0032551D"/>
    <w:rsid w:val="00325590"/>
    <w:rsid w:val="0032560F"/>
    <w:rsid w:val="00325A15"/>
    <w:rsid w:val="00325DFF"/>
    <w:rsid w:val="00326AED"/>
    <w:rsid w:val="00326F98"/>
    <w:rsid w:val="0032760B"/>
    <w:rsid w:val="0032765F"/>
    <w:rsid w:val="00327986"/>
    <w:rsid w:val="00327E39"/>
    <w:rsid w:val="0033010E"/>
    <w:rsid w:val="003305BA"/>
    <w:rsid w:val="00330A11"/>
    <w:rsid w:val="00330CAB"/>
    <w:rsid w:val="00331497"/>
    <w:rsid w:val="0033149F"/>
    <w:rsid w:val="00331567"/>
    <w:rsid w:val="00331BB9"/>
    <w:rsid w:val="00331CDB"/>
    <w:rsid w:val="00332191"/>
    <w:rsid w:val="00332560"/>
    <w:rsid w:val="003330BE"/>
    <w:rsid w:val="003331F1"/>
    <w:rsid w:val="003338A9"/>
    <w:rsid w:val="003338C6"/>
    <w:rsid w:val="00333935"/>
    <w:rsid w:val="00333AAB"/>
    <w:rsid w:val="00333E91"/>
    <w:rsid w:val="003345C4"/>
    <w:rsid w:val="003348A9"/>
    <w:rsid w:val="00334D65"/>
    <w:rsid w:val="00335CB1"/>
    <w:rsid w:val="003374DD"/>
    <w:rsid w:val="00340280"/>
    <w:rsid w:val="00340338"/>
    <w:rsid w:val="00340884"/>
    <w:rsid w:val="00340C97"/>
    <w:rsid w:val="0034115A"/>
    <w:rsid w:val="00341D09"/>
    <w:rsid w:val="003429E0"/>
    <w:rsid w:val="00342A1D"/>
    <w:rsid w:val="0034302D"/>
    <w:rsid w:val="0034347B"/>
    <w:rsid w:val="00343547"/>
    <w:rsid w:val="0034375D"/>
    <w:rsid w:val="00343B5A"/>
    <w:rsid w:val="0034495D"/>
    <w:rsid w:val="00344A63"/>
    <w:rsid w:val="00344BAE"/>
    <w:rsid w:val="00344FEE"/>
    <w:rsid w:val="00345127"/>
    <w:rsid w:val="00345270"/>
    <w:rsid w:val="00346301"/>
    <w:rsid w:val="00346A9A"/>
    <w:rsid w:val="00346DD0"/>
    <w:rsid w:val="0034708E"/>
    <w:rsid w:val="0034756A"/>
    <w:rsid w:val="003479AB"/>
    <w:rsid w:val="00347CBF"/>
    <w:rsid w:val="003500A2"/>
    <w:rsid w:val="00350775"/>
    <w:rsid w:val="003507E0"/>
    <w:rsid w:val="00350A8B"/>
    <w:rsid w:val="00351082"/>
    <w:rsid w:val="00351120"/>
    <w:rsid w:val="003512F6"/>
    <w:rsid w:val="00351306"/>
    <w:rsid w:val="003515FC"/>
    <w:rsid w:val="00351988"/>
    <w:rsid w:val="00351C10"/>
    <w:rsid w:val="00351D7E"/>
    <w:rsid w:val="00352147"/>
    <w:rsid w:val="00352B77"/>
    <w:rsid w:val="00353A0B"/>
    <w:rsid w:val="00353A6C"/>
    <w:rsid w:val="003548B2"/>
    <w:rsid w:val="00354B16"/>
    <w:rsid w:val="00355643"/>
    <w:rsid w:val="0035596E"/>
    <w:rsid w:val="00355A73"/>
    <w:rsid w:val="00355F4B"/>
    <w:rsid w:val="0035630B"/>
    <w:rsid w:val="003574C0"/>
    <w:rsid w:val="0035763C"/>
    <w:rsid w:val="003601FD"/>
    <w:rsid w:val="00360587"/>
    <w:rsid w:val="0036062C"/>
    <w:rsid w:val="00360777"/>
    <w:rsid w:val="00360DC7"/>
    <w:rsid w:val="00360F28"/>
    <w:rsid w:val="00361624"/>
    <w:rsid w:val="00361B6F"/>
    <w:rsid w:val="0036265D"/>
    <w:rsid w:val="003626B1"/>
    <w:rsid w:val="003626DB"/>
    <w:rsid w:val="0036299A"/>
    <w:rsid w:val="00362D2D"/>
    <w:rsid w:val="00363A7B"/>
    <w:rsid w:val="00363CCF"/>
    <w:rsid w:val="00363FA2"/>
    <w:rsid w:val="00364058"/>
    <w:rsid w:val="0036465E"/>
    <w:rsid w:val="00364FF5"/>
    <w:rsid w:val="003659AC"/>
    <w:rsid w:val="00365AFE"/>
    <w:rsid w:val="00365B77"/>
    <w:rsid w:val="003661D1"/>
    <w:rsid w:val="003661EB"/>
    <w:rsid w:val="00366361"/>
    <w:rsid w:val="00366625"/>
    <w:rsid w:val="00367704"/>
    <w:rsid w:val="0036777B"/>
    <w:rsid w:val="00367E8E"/>
    <w:rsid w:val="00367FF2"/>
    <w:rsid w:val="003702E2"/>
    <w:rsid w:val="0037051E"/>
    <w:rsid w:val="00370AE3"/>
    <w:rsid w:val="00371420"/>
    <w:rsid w:val="00371478"/>
    <w:rsid w:val="003715BC"/>
    <w:rsid w:val="00371784"/>
    <w:rsid w:val="00371F51"/>
    <w:rsid w:val="0037223C"/>
    <w:rsid w:val="00372580"/>
    <w:rsid w:val="00372C2A"/>
    <w:rsid w:val="003738E5"/>
    <w:rsid w:val="00374128"/>
    <w:rsid w:val="0037458D"/>
    <w:rsid w:val="00374FB9"/>
    <w:rsid w:val="0037528B"/>
    <w:rsid w:val="00376375"/>
    <w:rsid w:val="0037670B"/>
    <w:rsid w:val="00376A5D"/>
    <w:rsid w:val="00376BF4"/>
    <w:rsid w:val="003772D7"/>
    <w:rsid w:val="00377360"/>
    <w:rsid w:val="003776B4"/>
    <w:rsid w:val="00377F89"/>
    <w:rsid w:val="00380104"/>
    <w:rsid w:val="003801F1"/>
    <w:rsid w:val="00380317"/>
    <w:rsid w:val="00380817"/>
    <w:rsid w:val="00380B4F"/>
    <w:rsid w:val="00380F47"/>
    <w:rsid w:val="003811CE"/>
    <w:rsid w:val="00381406"/>
    <w:rsid w:val="003821C8"/>
    <w:rsid w:val="00382231"/>
    <w:rsid w:val="00382307"/>
    <w:rsid w:val="00382648"/>
    <w:rsid w:val="00383421"/>
    <w:rsid w:val="00383499"/>
    <w:rsid w:val="0038361F"/>
    <w:rsid w:val="003836C9"/>
    <w:rsid w:val="003845DC"/>
    <w:rsid w:val="00384794"/>
    <w:rsid w:val="00384EDB"/>
    <w:rsid w:val="00384EFB"/>
    <w:rsid w:val="003852E3"/>
    <w:rsid w:val="00385967"/>
    <w:rsid w:val="00385B5B"/>
    <w:rsid w:val="00385BFE"/>
    <w:rsid w:val="00385C0E"/>
    <w:rsid w:val="0038695F"/>
    <w:rsid w:val="00386993"/>
    <w:rsid w:val="00386C31"/>
    <w:rsid w:val="00386FAF"/>
    <w:rsid w:val="003879AB"/>
    <w:rsid w:val="0039004E"/>
    <w:rsid w:val="00390100"/>
    <w:rsid w:val="0039018A"/>
    <w:rsid w:val="003908EC"/>
    <w:rsid w:val="00390CB1"/>
    <w:rsid w:val="003910A8"/>
    <w:rsid w:val="003912D4"/>
    <w:rsid w:val="0039170A"/>
    <w:rsid w:val="003918DA"/>
    <w:rsid w:val="00391BFC"/>
    <w:rsid w:val="0039240B"/>
    <w:rsid w:val="00392B27"/>
    <w:rsid w:val="003937BF"/>
    <w:rsid w:val="00393893"/>
    <w:rsid w:val="003939C0"/>
    <w:rsid w:val="00393B5C"/>
    <w:rsid w:val="00393CCE"/>
    <w:rsid w:val="003941DE"/>
    <w:rsid w:val="00394202"/>
    <w:rsid w:val="003945AC"/>
    <w:rsid w:val="00394999"/>
    <w:rsid w:val="00394C86"/>
    <w:rsid w:val="003962CB"/>
    <w:rsid w:val="003965B1"/>
    <w:rsid w:val="00396AD6"/>
    <w:rsid w:val="00396D14"/>
    <w:rsid w:val="003973FF"/>
    <w:rsid w:val="00397D49"/>
    <w:rsid w:val="00397E1B"/>
    <w:rsid w:val="003A03A6"/>
    <w:rsid w:val="003A0486"/>
    <w:rsid w:val="003A0E9D"/>
    <w:rsid w:val="003A100A"/>
    <w:rsid w:val="003A174C"/>
    <w:rsid w:val="003A18EB"/>
    <w:rsid w:val="003A196C"/>
    <w:rsid w:val="003A1C12"/>
    <w:rsid w:val="003A1D62"/>
    <w:rsid w:val="003A217E"/>
    <w:rsid w:val="003A2207"/>
    <w:rsid w:val="003A2381"/>
    <w:rsid w:val="003A23BD"/>
    <w:rsid w:val="003A274F"/>
    <w:rsid w:val="003A275A"/>
    <w:rsid w:val="003A293B"/>
    <w:rsid w:val="003A2B2A"/>
    <w:rsid w:val="003A2B4B"/>
    <w:rsid w:val="003A2E07"/>
    <w:rsid w:val="003A3181"/>
    <w:rsid w:val="003A32AB"/>
    <w:rsid w:val="003A3BD6"/>
    <w:rsid w:val="003A4558"/>
    <w:rsid w:val="003A47DD"/>
    <w:rsid w:val="003A4E0C"/>
    <w:rsid w:val="003A54A3"/>
    <w:rsid w:val="003A63C6"/>
    <w:rsid w:val="003A66DB"/>
    <w:rsid w:val="003A707C"/>
    <w:rsid w:val="003A7327"/>
    <w:rsid w:val="003A7CAD"/>
    <w:rsid w:val="003A7EB1"/>
    <w:rsid w:val="003A7F0B"/>
    <w:rsid w:val="003B0063"/>
    <w:rsid w:val="003B0694"/>
    <w:rsid w:val="003B0AEF"/>
    <w:rsid w:val="003B1539"/>
    <w:rsid w:val="003B20F5"/>
    <w:rsid w:val="003B25F0"/>
    <w:rsid w:val="003B268E"/>
    <w:rsid w:val="003B309E"/>
    <w:rsid w:val="003B3338"/>
    <w:rsid w:val="003B34DB"/>
    <w:rsid w:val="003B356B"/>
    <w:rsid w:val="003B35EE"/>
    <w:rsid w:val="003B3627"/>
    <w:rsid w:val="003B364E"/>
    <w:rsid w:val="003B371C"/>
    <w:rsid w:val="003B38C5"/>
    <w:rsid w:val="003B3CFB"/>
    <w:rsid w:val="003B4656"/>
    <w:rsid w:val="003B4BD4"/>
    <w:rsid w:val="003B4EB7"/>
    <w:rsid w:val="003B52FA"/>
    <w:rsid w:val="003B5716"/>
    <w:rsid w:val="003B5DC5"/>
    <w:rsid w:val="003B5FC4"/>
    <w:rsid w:val="003B64EF"/>
    <w:rsid w:val="003B6558"/>
    <w:rsid w:val="003B6DB4"/>
    <w:rsid w:val="003B6FD7"/>
    <w:rsid w:val="003B735C"/>
    <w:rsid w:val="003B75DD"/>
    <w:rsid w:val="003B7877"/>
    <w:rsid w:val="003B79FB"/>
    <w:rsid w:val="003B7E53"/>
    <w:rsid w:val="003C0433"/>
    <w:rsid w:val="003C04A3"/>
    <w:rsid w:val="003C0507"/>
    <w:rsid w:val="003C11B2"/>
    <w:rsid w:val="003C12ED"/>
    <w:rsid w:val="003C1C01"/>
    <w:rsid w:val="003C270D"/>
    <w:rsid w:val="003C2859"/>
    <w:rsid w:val="003C2AD6"/>
    <w:rsid w:val="003C2C52"/>
    <w:rsid w:val="003C302E"/>
    <w:rsid w:val="003C3850"/>
    <w:rsid w:val="003C4139"/>
    <w:rsid w:val="003C4F05"/>
    <w:rsid w:val="003C5032"/>
    <w:rsid w:val="003C66C9"/>
    <w:rsid w:val="003C6B55"/>
    <w:rsid w:val="003C700C"/>
    <w:rsid w:val="003C7938"/>
    <w:rsid w:val="003C7BDF"/>
    <w:rsid w:val="003D014C"/>
    <w:rsid w:val="003D03AE"/>
    <w:rsid w:val="003D09C8"/>
    <w:rsid w:val="003D0F7B"/>
    <w:rsid w:val="003D0F7F"/>
    <w:rsid w:val="003D1766"/>
    <w:rsid w:val="003D1C5E"/>
    <w:rsid w:val="003D1F3A"/>
    <w:rsid w:val="003D2028"/>
    <w:rsid w:val="003D2156"/>
    <w:rsid w:val="003D21BA"/>
    <w:rsid w:val="003D2790"/>
    <w:rsid w:val="003D2821"/>
    <w:rsid w:val="003D299D"/>
    <w:rsid w:val="003D2DA5"/>
    <w:rsid w:val="003D321E"/>
    <w:rsid w:val="003D3435"/>
    <w:rsid w:val="003D357C"/>
    <w:rsid w:val="003D35F0"/>
    <w:rsid w:val="003D36F3"/>
    <w:rsid w:val="003D37C4"/>
    <w:rsid w:val="003D3DB1"/>
    <w:rsid w:val="003D3DF3"/>
    <w:rsid w:val="003D3F1B"/>
    <w:rsid w:val="003D449E"/>
    <w:rsid w:val="003D46DC"/>
    <w:rsid w:val="003D5175"/>
    <w:rsid w:val="003D5423"/>
    <w:rsid w:val="003D5519"/>
    <w:rsid w:val="003D5586"/>
    <w:rsid w:val="003D55A0"/>
    <w:rsid w:val="003D55C2"/>
    <w:rsid w:val="003D5823"/>
    <w:rsid w:val="003D5B6E"/>
    <w:rsid w:val="003D5CCB"/>
    <w:rsid w:val="003D5E1C"/>
    <w:rsid w:val="003D668B"/>
    <w:rsid w:val="003D6863"/>
    <w:rsid w:val="003D734D"/>
    <w:rsid w:val="003D798F"/>
    <w:rsid w:val="003E0F97"/>
    <w:rsid w:val="003E19EF"/>
    <w:rsid w:val="003E2B1E"/>
    <w:rsid w:val="003E2B77"/>
    <w:rsid w:val="003E2D98"/>
    <w:rsid w:val="003E2F0E"/>
    <w:rsid w:val="003E2FC8"/>
    <w:rsid w:val="003E3264"/>
    <w:rsid w:val="003E3572"/>
    <w:rsid w:val="003E360F"/>
    <w:rsid w:val="003E42B6"/>
    <w:rsid w:val="003E44E9"/>
    <w:rsid w:val="003E4FAD"/>
    <w:rsid w:val="003E5AD4"/>
    <w:rsid w:val="003E6765"/>
    <w:rsid w:val="003E685C"/>
    <w:rsid w:val="003E6C91"/>
    <w:rsid w:val="003E7890"/>
    <w:rsid w:val="003E7AEB"/>
    <w:rsid w:val="003E7DB4"/>
    <w:rsid w:val="003E7F91"/>
    <w:rsid w:val="003E7FF9"/>
    <w:rsid w:val="003F01DB"/>
    <w:rsid w:val="003F0E41"/>
    <w:rsid w:val="003F1039"/>
    <w:rsid w:val="003F187D"/>
    <w:rsid w:val="003F202C"/>
    <w:rsid w:val="003F23E9"/>
    <w:rsid w:val="003F2720"/>
    <w:rsid w:val="003F28FD"/>
    <w:rsid w:val="003F2CBB"/>
    <w:rsid w:val="003F2E72"/>
    <w:rsid w:val="003F3CBE"/>
    <w:rsid w:val="003F3FB4"/>
    <w:rsid w:val="003F3FEE"/>
    <w:rsid w:val="003F40EB"/>
    <w:rsid w:val="003F4413"/>
    <w:rsid w:val="003F4704"/>
    <w:rsid w:val="003F48FB"/>
    <w:rsid w:val="003F570B"/>
    <w:rsid w:val="003F68C4"/>
    <w:rsid w:val="003F6A9B"/>
    <w:rsid w:val="003F6FE8"/>
    <w:rsid w:val="003F7145"/>
    <w:rsid w:val="003F71F8"/>
    <w:rsid w:val="003F73B4"/>
    <w:rsid w:val="003F748A"/>
    <w:rsid w:val="003F7827"/>
    <w:rsid w:val="003F7C41"/>
    <w:rsid w:val="0040071E"/>
    <w:rsid w:val="00400767"/>
    <w:rsid w:val="00400783"/>
    <w:rsid w:val="00400D87"/>
    <w:rsid w:val="004010BA"/>
    <w:rsid w:val="004010DD"/>
    <w:rsid w:val="004012F3"/>
    <w:rsid w:val="00401617"/>
    <w:rsid w:val="0040169A"/>
    <w:rsid w:val="00402A60"/>
    <w:rsid w:val="00402F3E"/>
    <w:rsid w:val="0040369A"/>
    <w:rsid w:val="004037FE"/>
    <w:rsid w:val="00403A7C"/>
    <w:rsid w:val="00403CD0"/>
    <w:rsid w:val="00403FAA"/>
    <w:rsid w:val="00404123"/>
    <w:rsid w:val="00404167"/>
    <w:rsid w:val="0040458E"/>
    <w:rsid w:val="004046DD"/>
    <w:rsid w:val="00404916"/>
    <w:rsid w:val="00404C38"/>
    <w:rsid w:val="00404E78"/>
    <w:rsid w:val="00405278"/>
    <w:rsid w:val="004052E2"/>
    <w:rsid w:val="00405547"/>
    <w:rsid w:val="004059D0"/>
    <w:rsid w:val="00405B23"/>
    <w:rsid w:val="00405D8D"/>
    <w:rsid w:val="00406191"/>
    <w:rsid w:val="00406553"/>
    <w:rsid w:val="00406591"/>
    <w:rsid w:val="004068C5"/>
    <w:rsid w:val="00407271"/>
    <w:rsid w:val="00407C90"/>
    <w:rsid w:val="00407EA7"/>
    <w:rsid w:val="00407F0F"/>
    <w:rsid w:val="004101B2"/>
    <w:rsid w:val="00410BA5"/>
    <w:rsid w:val="00410F40"/>
    <w:rsid w:val="00410FEE"/>
    <w:rsid w:val="00411188"/>
    <w:rsid w:val="00411D66"/>
    <w:rsid w:val="0041246A"/>
    <w:rsid w:val="004129F9"/>
    <w:rsid w:val="00412C5F"/>
    <w:rsid w:val="00412D5C"/>
    <w:rsid w:val="0041410E"/>
    <w:rsid w:val="004142E4"/>
    <w:rsid w:val="004144BB"/>
    <w:rsid w:val="0041454D"/>
    <w:rsid w:val="00414744"/>
    <w:rsid w:val="00414EB3"/>
    <w:rsid w:val="00414F32"/>
    <w:rsid w:val="0041544E"/>
    <w:rsid w:val="004165FC"/>
    <w:rsid w:val="004169A0"/>
    <w:rsid w:val="00416DE0"/>
    <w:rsid w:val="00416DF7"/>
    <w:rsid w:val="00417062"/>
    <w:rsid w:val="00417109"/>
    <w:rsid w:val="00417190"/>
    <w:rsid w:val="004176FB"/>
    <w:rsid w:val="00417F61"/>
    <w:rsid w:val="0042032D"/>
    <w:rsid w:val="004206EF"/>
    <w:rsid w:val="0042137A"/>
    <w:rsid w:val="00421A37"/>
    <w:rsid w:val="004226A3"/>
    <w:rsid w:val="004230A3"/>
    <w:rsid w:val="004235D3"/>
    <w:rsid w:val="00423D6C"/>
    <w:rsid w:val="004243E2"/>
    <w:rsid w:val="00424BE9"/>
    <w:rsid w:val="00425AAE"/>
    <w:rsid w:val="0042618C"/>
    <w:rsid w:val="004262C3"/>
    <w:rsid w:val="00426B8C"/>
    <w:rsid w:val="004271EB"/>
    <w:rsid w:val="00427227"/>
    <w:rsid w:val="00427509"/>
    <w:rsid w:val="0042778F"/>
    <w:rsid w:val="00427AED"/>
    <w:rsid w:val="00427F05"/>
    <w:rsid w:val="00430335"/>
    <w:rsid w:val="00430916"/>
    <w:rsid w:val="00430C5F"/>
    <w:rsid w:val="00430F17"/>
    <w:rsid w:val="004310F5"/>
    <w:rsid w:val="004312FF"/>
    <w:rsid w:val="0043190B"/>
    <w:rsid w:val="00431FDE"/>
    <w:rsid w:val="0043297D"/>
    <w:rsid w:val="00433060"/>
    <w:rsid w:val="004341AE"/>
    <w:rsid w:val="00434220"/>
    <w:rsid w:val="00434242"/>
    <w:rsid w:val="00434781"/>
    <w:rsid w:val="004348C5"/>
    <w:rsid w:val="00434BAE"/>
    <w:rsid w:val="00435347"/>
    <w:rsid w:val="00435E25"/>
    <w:rsid w:val="004368F7"/>
    <w:rsid w:val="00436AA7"/>
    <w:rsid w:val="00436CB0"/>
    <w:rsid w:val="004372BA"/>
    <w:rsid w:val="00437A70"/>
    <w:rsid w:val="00437AAB"/>
    <w:rsid w:val="00437B1C"/>
    <w:rsid w:val="0044072A"/>
    <w:rsid w:val="00441625"/>
    <w:rsid w:val="00441F72"/>
    <w:rsid w:val="00442A09"/>
    <w:rsid w:val="00442DBA"/>
    <w:rsid w:val="00443967"/>
    <w:rsid w:val="0044399D"/>
    <w:rsid w:val="00443BA3"/>
    <w:rsid w:val="00443E44"/>
    <w:rsid w:val="00443E85"/>
    <w:rsid w:val="00443EFF"/>
    <w:rsid w:val="00444205"/>
    <w:rsid w:val="00444291"/>
    <w:rsid w:val="0044443B"/>
    <w:rsid w:val="004444C7"/>
    <w:rsid w:val="0044475D"/>
    <w:rsid w:val="00444B1F"/>
    <w:rsid w:val="00444BE6"/>
    <w:rsid w:val="00444FB4"/>
    <w:rsid w:val="00445254"/>
    <w:rsid w:val="00446286"/>
    <w:rsid w:val="0044654B"/>
    <w:rsid w:val="00446629"/>
    <w:rsid w:val="004468BB"/>
    <w:rsid w:val="004469DE"/>
    <w:rsid w:val="00446C5A"/>
    <w:rsid w:val="004476A5"/>
    <w:rsid w:val="004476AE"/>
    <w:rsid w:val="004478FB"/>
    <w:rsid w:val="00447A07"/>
    <w:rsid w:val="0044F51D"/>
    <w:rsid w:val="004503D6"/>
    <w:rsid w:val="004504B4"/>
    <w:rsid w:val="00450687"/>
    <w:rsid w:val="00450D94"/>
    <w:rsid w:val="00451C9A"/>
    <w:rsid w:val="00452DAE"/>
    <w:rsid w:val="00452DBE"/>
    <w:rsid w:val="00453A9C"/>
    <w:rsid w:val="00453E1D"/>
    <w:rsid w:val="00454012"/>
    <w:rsid w:val="004544BD"/>
    <w:rsid w:val="00454B86"/>
    <w:rsid w:val="00454D5B"/>
    <w:rsid w:val="00454EFE"/>
    <w:rsid w:val="00455B9B"/>
    <w:rsid w:val="00456095"/>
    <w:rsid w:val="00456116"/>
    <w:rsid w:val="00456138"/>
    <w:rsid w:val="004565DF"/>
    <w:rsid w:val="004568EB"/>
    <w:rsid w:val="00456FE1"/>
    <w:rsid w:val="00457D3B"/>
    <w:rsid w:val="00461088"/>
    <w:rsid w:val="0046113C"/>
    <w:rsid w:val="004614B5"/>
    <w:rsid w:val="00461B1F"/>
    <w:rsid w:val="00461F4E"/>
    <w:rsid w:val="00462750"/>
    <w:rsid w:val="00462A94"/>
    <w:rsid w:val="00462B7A"/>
    <w:rsid w:val="00462D5F"/>
    <w:rsid w:val="004633A3"/>
    <w:rsid w:val="004636D4"/>
    <w:rsid w:val="00463AF5"/>
    <w:rsid w:val="00463BD4"/>
    <w:rsid w:val="00463D78"/>
    <w:rsid w:val="00464A5C"/>
    <w:rsid w:val="00464EE4"/>
    <w:rsid w:val="00464F6E"/>
    <w:rsid w:val="00465177"/>
    <w:rsid w:val="00465233"/>
    <w:rsid w:val="004653A8"/>
    <w:rsid w:val="00466182"/>
    <w:rsid w:val="004671F1"/>
    <w:rsid w:val="00467542"/>
    <w:rsid w:val="004677D7"/>
    <w:rsid w:val="00467B4B"/>
    <w:rsid w:val="00467C4B"/>
    <w:rsid w:val="00467D99"/>
    <w:rsid w:val="0047015E"/>
    <w:rsid w:val="004708CF"/>
    <w:rsid w:val="00470CE8"/>
    <w:rsid w:val="00471736"/>
    <w:rsid w:val="00471AFE"/>
    <w:rsid w:val="00471B02"/>
    <w:rsid w:val="00471E01"/>
    <w:rsid w:val="0047223B"/>
    <w:rsid w:val="00472B0F"/>
    <w:rsid w:val="00472C69"/>
    <w:rsid w:val="00472DB3"/>
    <w:rsid w:val="00472FA4"/>
    <w:rsid w:val="0047325C"/>
    <w:rsid w:val="004735AC"/>
    <w:rsid w:val="00474289"/>
    <w:rsid w:val="00475857"/>
    <w:rsid w:val="00475FDA"/>
    <w:rsid w:val="00476017"/>
    <w:rsid w:val="0047630A"/>
    <w:rsid w:val="0047647C"/>
    <w:rsid w:val="004768EC"/>
    <w:rsid w:val="00476F5F"/>
    <w:rsid w:val="00476F80"/>
    <w:rsid w:val="0047706C"/>
    <w:rsid w:val="0047724B"/>
    <w:rsid w:val="00477DE6"/>
    <w:rsid w:val="00477E26"/>
    <w:rsid w:val="004802E4"/>
    <w:rsid w:val="00481009"/>
    <w:rsid w:val="004811EC"/>
    <w:rsid w:val="00481854"/>
    <w:rsid w:val="00481FAC"/>
    <w:rsid w:val="004821A0"/>
    <w:rsid w:val="00482876"/>
    <w:rsid w:val="00482A8A"/>
    <w:rsid w:val="00482BF8"/>
    <w:rsid w:val="00482E08"/>
    <w:rsid w:val="00483254"/>
    <w:rsid w:val="0048370F"/>
    <w:rsid w:val="004837CE"/>
    <w:rsid w:val="00483D06"/>
    <w:rsid w:val="0048409C"/>
    <w:rsid w:val="004843D9"/>
    <w:rsid w:val="0048484B"/>
    <w:rsid w:val="00484BFC"/>
    <w:rsid w:val="00485344"/>
    <w:rsid w:val="00485536"/>
    <w:rsid w:val="004859FF"/>
    <w:rsid w:val="0048642E"/>
    <w:rsid w:val="00486B19"/>
    <w:rsid w:val="00486C58"/>
    <w:rsid w:val="00486C7C"/>
    <w:rsid w:val="004870CE"/>
    <w:rsid w:val="00487267"/>
    <w:rsid w:val="0048780D"/>
    <w:rsid w:val="00487889"/>
    <w:rsid w:val="00487AD1"/>
    <w:rsid w:val="00490565"/>
    <w:rsid w:val="0049057B"/>
    <w:rsid w:val="00490CD1"/>
    <w:rsid w:val="00490D63"/>
    <w:rsid w:val="004918AC"/>
    <w:rsid w:val="004920AA"/>
    <w:rsid w:val="004925A8"/>
    <w:rsid w:val="00492821"/>
    <w:rsid w:val="0049306C"/>
    <w:rsid w:val="0049370A"/>
    <w:rsid w:val="00493F27"/>
    <w:rsid w:val="00494611"/>
    <w:rsid w:val="00494E9D"/>
    <w:rsid w:val="00494F43"/>
    <w:rsid w:val="00495DC8"/>
    <w:rsid w:val="004966D6"/>
    <w:rsid w:val="0049688A"/>
    <w:rsid w:val="00496A38"/>
    <w:rsid w:val="00496C43"/>
    <w:rsid w:val="00496EF2"/>
    <w:rsid w:val="00497321"/>
    <w:rsid w:val="004977FF"/>
    <w:rsid w:val="00497B4F"/>
    <w:rsid w:val="00497C03"/>
    <w:rsid w:val="00497C7C"/>
    <w:rsid w:val="004A01A5"/>
    <w:rsid w:val="004A0975"/>
    <w:rsid w:val="004A0D7D"/>
    <w:rsid w:val="004A11D1"/>
    <w:rsid w:val="004A13A7"/>
    <w:rsid w:val="004A147F"/>
    <w:rsid w:val="004A17F9"/>
    <w:rsid w:val="004A18AE"/>
    <w:rsid w:val="004A1A32"/>
    <w:rsid w:val="004A1FD4"/>
    <w:rsid w:val="004A20FC"/>
    <w:rsid w:val="004A2793"/>
    <w:rsid w:val="004A297A"/>
    <w:rsid w:val="004A29CB"/>
    <w:rsid w:val="004A2A85"/>
    <w:rsid w:val="004A321C"/>
    <w:rsid w:val="004A39E9"/>
    <w:rsid w:val="004A3B47"/>
    <w:rsid w:val="004A3FF5"/>
    <w:rsid w:val="004A4772"/>
    <w:rsid w:val="004A5A64"/>
    <w:rsid w:val="004A5E02"/>
    <w:rsid w:val="004A614F"/>
    <w:rsid w:val="004A6858"/>
    <w:rsid w:val="004A6B83"/>
    <w:rsid w:val="004A7106"/>
    <w:rsid w:val="004A7149"/>
    <w:rsid w:val="004A7476"/>
    <w:rsid w:val="004B012E"/>
    <w:rsid w:val="004B0241"/>
    <w:rsid w:val="004B080B"/>
    <w:rsid w:val="004B0A5C"/>
    <w:rsid w:val="004B0B08"/>
    <w:rsid w:val="004B159E"/>
    <w:rsid w:val="004B2946"/>
    <w:rsid w:val="004B2ACD"/>
    <w:rsid w:val="004B2C30"/>
    <w:rsid w:val="004B3994"/>
    <w:rsid w:val="004B4011"/>
    <w:rsid w:val="004B437C"/>
    <w:rsid w:val="004B477D"/>
    <w:rsid w:val="004B494F"/>
    <w:rsid w:val="004B4A90"/>
    <w:rsid w:val="004B5044"/>
    <w:rsid w:val="004B50E4"/>
    <w:rsid w:val="004B515D"/>
    <w:rsid w:val="004B58BD"/>
    <w:rsid w:val="004B6A3E"/>
    <w:rsid w:val="004B7197"/>
    <w:rsid w:val="004B75EE"/>
    <w:rsid w:val="004B75FB"/>
    <w:rsid w:val="004B7D8A"/>
    <w:rsid w:val="004B7EC1"/>
    <w:rsid w:val="004C006A"/>
    <w:rsid w:val="004C0EC2"/>
    <w:rsid w:val="004C1688"/>
    <w:rsid w:val="004C1716"/>
    <w:rsid w:val="004C1C48"/>
    <w:rsid w:val="004C1E2E"/>
    <w:rsid w:val="004C23FF"/>
    <w:rsid w:val="004C2875"/>
    <w:rsid w:val="004C2D35"/>
    <w:rsid w:val="004C2F13"/>
    <w:rsid w:val="004C30C8"/>
    <w:rsid w:val="004C31E0"/>
    <w:rsid w:val="004C3437"/>
    <w:rsid w:val="004C374B"/>
    <w:rsid w:val="004C3E1A"/>
    <w:rsid w:val="004C4305"/>
    <w:rsid w:val="004C5049"/>
    <w:rsid w:val="004C5C2F"/>
    <w:rsid w:val="004C5D63"/>
    <w:rsid w:val="004C6410"/>
    <w:rsid w:val="004C68D9"/>
    <w:rsid w:val="004C6DBA"/>
    <w:rsid w:val="004C761C"/>
    <w:rsid w:val="004C77BB"/>
    <w:rsid w:val="004C7855"/>
    <w:rsid w:val="004C7B14"/>
    <w:rsid w:val="004C7C60"/>
    <w:rsid w:val="004C7D72"/>
    <w:rsid w:val="004D014C"/>
    <w:rsid w:val="004D06BD"/>
    <w:rsid w:val="004D0A9C"/>
    <w:rsid w:val="004D12BF"/>
    <w:rsid w:val="004D1676"/>
    <w:rsid w:val="004D16A3"/>
    <w:rsid w:val="004D1A71"/>
    <w:rsid w:val="004D1CF7"/>
    <w:rsid w:val="004D1D16"/>
    <w:rsid w:val="004D1FF8"/>
    <w:rsid w:val="004D20E5"/>
    <w:rsid w:val="004D21A8"/>
    <w:rsid w:val="004D228D"/>
    <w:rsid w:val="004D2495"/>
    <w:rsid w:val="004D316A"/>
    <w:rsid w:val="004D36E1"/>
    <w:rsid w:val="004D378F"/>
    <w:rsid w:val="004D3AA2"/>
    <w:rsid w:val="004D3CF1"/>
    <w:rsid w:val="004D3CFD"/>
    <w:rsid w:val="004D3DCA"/>
    <w:rsid w:val="004D4308"/>
    <w:rsid w:val="004D43A0"/>
    <w:rsid w:val="004D4422"/>
    <w:rsid w:val="004D4EA6"/>
    <w:rsid w:val="004D5165"/>
    <w:rsid w:val="004D56A4"/>
    <w:rsid w:val="004D57FE"/>
    <w:rsid w:val="004D5837"/>
    <w:rsid w:val="004D58EA"/>
    <w:rsid w:val="004D5FC3"/>
    <w:rsid w:val="004D6069"/>
    <w:rsid w:val="004D62FA"/>
    <w:rsid w:val="004D630B"/>
    <w:rsid w:val="004D653C"/>
    <w:rsid w:val="004D6C3C"/>
    <w:rsid w:val="004D6E06"/>
    <w:rsid w:val="004D6FFC"/>
    <w:rsid w:val="004D75C8"/>
    <w:rsid w:val="004D76F0"/>
    <w:rsid w:val="004D7F07"/>
    <w:rsid w:val="004E0805"/>
    <w:rsid w:val="004E0A72"/>
    <w:rsid w:val="004E0B36"/>
    <w:rsid w:val="004E0D20"/>
    <w:rsid w:val="004E0F76"/>
    <w:rsid w:val="004E1E67"/>
    <w:rsid w:val="004E21AA"/>
    <w:rsid w:val="004E222F"/>
    <w:rsid w:val="004E2498"/>
    <w:rsid w:val="004E35AE"/>
    <w:rsid w:val="004E36F1"/>
    <w:rsid w:val="004E3886"/>
    <w:rsid w:val="004E3D19"/>
    <w:rsid w:val="004E46BA"/>
    <w:rsid w:val="004E49FD"/>
    <w:rsid w:val="004E4AA5"/>
    <w:rsid w:val="004E4F2B"/>
    <w:rsid w:val="004E4FF9"/>
    <w:rsid w:val="004E5795"/>
    <w:rsid w:val="004E5A72"/>
    <w:rsid w:val="004E5DEB"/>
    <w:rsid w:val="004E5EA8"/>
    <w:rsid w:val="004E5EF2"/>
    <w:rsid w:val="004E61E5"/>
    <w:rsid w:val="004E62E4"/>
    <w:rsid w:val="004E6743"/>
    <w:rsid w:val="004E693F"/>
    <w:rsid w:val="004E6BD0"/>
    <w:rsid w:val="004E6CE3"/>
    <w:rsid w:val="004E6E28"/>
    <w:rsid w:val="004E72FD"/>
    <w:rsid w:val="004E73B7"/>
    <w:rsid w:val="004E76B8"/>
    <w:rsid w:val="004F012F"/>
    <w:rsid w:val="004F035A"/>
    <w:rsid w:val="004F1163"/>
    <w:rsid w:val="004F1ADD"/>
    <w:rsid w:val="004F2586"/>
    <w:rsid w:val="004F2642"/>
    <w:rsid w:val="004F2F79"/>
    <w:rsid w:val="004F3AF8"/>
    <w:rsid w:val="004F3F0A"/>
    <w:rsid w:val="004F426D"/>
    <w:rsid w:val="004F4399"/>
    <w:rsid w:val="004F43AA"/>
    <w:rsid w:val="004F43EF"/>
    <w:rsid w:val="004F483D"/>
    <w:rsid w:val="004F48D2"/>
    <w:rsid w:val="004F4E4C"/>
    <w:rsid w:val="004F52E3"/>
    <w:rsid w:val="004F537E"/>
    <w:rsid w:val="004F58E4"/>
    <w:rsid w:val="004F5960"/>
    <w:rsid w:val="004F5D77"/>
    <w:rsid w:val="004F638E"/>
    <w:rsid w:val="004F66EC"/>
    <w:rsid w:val="004F693E"/>
    <w:rsid w:val="004F7243"/>
    <w:rsid w:val="004F73C7"/>
    <w:rsid w:val="0050071F"/>
    <w:rsid w:val="005007F8"/>
    <w:rsid w:val="005007FF"/>
    <w:rsid w:val="00500EBE"/>
    <w:rsid w:val="0050161E"/>
    <w:rsid w:val="005018D1"/>
    <w:rsid w:val="00502396"/>
    <w:rsid w:val="00502DBE"/>
    <w:rsid w:val="00502F40"/>
    <w:rsid w:val="005037BA"/>
    <w:rsid w:val="005040AD"/>
    <w:rsid w:val="00504528"/>
    <w:rsid w:val="0050483B"/>
    <w:rsid w:val="005048CC"/>
    <w:rsid w:val="005050B5"/>
    <w:rsid w:val="005050F4"/>
    <w:rsid w:val="005053B1"/>
    <w:rsid w:val="005053CB"/>
    <w:rsid w:val="005053CD"/>
    <w:rsid w:val="00505993"/>
    <w:rsid w:val="00505B2A"/>
    <w:rsid w:val="0050600E"/>
    <w:rsid w:val="00506249"/>
    <w:rsid w:val="0050627F"/>
    <w:rsid w:val="00506896"/>
    <w:rsid w:val="00506AFE"/>
    <w:rsid w:val="00506C2C"/>
    <w:rsid w:val="00507599"/>
    <w:rsid w:val="005077BB"/>
    <w:rsid w:val="00507B2F"/>
    <w:rsid w:val="00507D90"/>
    <w:rsid w:val="005104E1"/>
    <w:rsid w:val="00510585"/>
    <w:rsid w:val="00511104"/>
    <w:rsid w:val="0051180D"/>
    <w:rsid w:val="00511815"/>
    <w:rsid w:val="00511883"/>
    <w:rsid w:val="005119F1"/>
    <w:rsid w:val="0051252E"/>
    <w:rsid w:val="005128B5"/>
    <w:rsid w:val="00512B1A"/>
    <w:rsid w:val="00513255"/>
    <w:rsid w:val="0051355D"/>
    <w:rsid w:val="00513702"/>
    <w:rsid w:val="005137C0"/>
    <w:rsid w:val="0051382B"/>
    <w:rsid w:val="005138D6"/>
    <w:rsid w:val="0051474C"/>
    <w:rsid w:val="00514AD4"/>
    <w:rsid w:val="00514BB3"/>
    <w:rsid w:val="00514C5B"/>
    <w:rsid w:val="00514D86"/>
    <w:rsid w:val="00515735"/>
    <w:rsid w:val="0051592E"/>
    <w:rsid w:val="005160E1"/>
    <w:rsid w:val="00516593"/>
    <w:rsid w:val="00516A2F"/>
    <w:rsid w:val="00517142"/>
    <w:rsid w:val="0052000F"/>
    <w:rsid w:val="00520077"/>
    <w:rsid w:val="005205D6"/>
    <w:rsid w:val="005208D9"/>
    <w:rsid w:val="005209A4"/>
    <w:rsid w:val="00520F99"/>
    <w:rsid w:val="0052162E"/>
    <w:rsid w:val="00521AD1"/>
    <w:rsid w:val="00521ED7"/>
    <w:rsid w:val="00522098"/>
    <w:rsid w:val="005220DD"/>
    <w:rsid w:val="00522243"/>
    <w:rsid w:val="0052232F"/>
    <w:rsid w:val="00522793"/>
    <w:rsid w:val="00522869"/>
    <w:rsid w:val="00522D71"/>
    <w:rsid w:val="0052352A"/>
    <w:rsid w:val="00523A31"/>
    <w:rsid w:val="005240D3"/>
    <w:rsid w:val="0052513F"/>
    <w:rsid w:val="005252B2"/>
    <w:rsid w:val="00525481"/>
    <w:rsid w:val="005260A6"/>
    <w:rsid w:val="00526246"/>
    <w:rsid w:val="005263C7"/>
    <w:rsid w:val="0052657D"/>
    <w:rsid w:val="00526C2A"/>
    <w:rsid w:val="00527076"/>
    <w:rsid w:val="00530079"/>
    <w:rsid w:val="005301A4"/>
    <w:rsid w:val="00530227"/>
    <w:rsid w:val="00530342"/>
    <w:rsid w:val="005303C7"/>
    <w:rsid w:val="00531294"/>
    <w:rsid w:val="005322F8"/>
    <w:rsid w:val="0053302D"/>
    <w:rsid w:val="005336BA"/>
    <w:rsid w:val="005336D0"/>
    <w:rsid w:val="0053370F"/>
    <w:rsid w:val="00533980"/>
    <w:rsid w:val="00533D34"/>
    <w:rsid w:val="005341B2"/>
    <w:rsid w:val="005342BE"/>
    <w:rsid w:val="00534947"/>
    <w:rsid w:val="00534B4B"/>
    <w:rsid w:val="005356D0"/>
    <w:rsid w:val="0053580B"/>
    <w:rsid w:val="00535F17"/>
    <w:rsid w:val="0053628F"/>
    <w:rsid w:val="00536BFF"/>
    <w:rsid w:val="00537641"/>
    <w:rsid w:val="00540820"/>
    <w:rsid w:val="00540B92"/>
    <w:rsid w:val="00540DE6"/>
    <w:rsid w:val="00541252"/>
    <w:rsid w:val="0054172A"/>
    <w:rsid w:val="00541942"/>
    <w:rsid w:val="00541C15"/>
    <w:rsid w:val="00541CCE"/>
    <w:rsid w:val="00542316"/>
    <w:rsid w:val="00542E1B"/>
    <w:rsid w:val="00543273"/>
    <w:rsid w:val="00543F3B"/>
    <w:rsid w:val="00543FEC"/>
    <w:rsid w:val="005447E4"/>
    <w:rsid w:val="00544ABE"/>
    <w:rsid w:val="00545518"/>
    <w:rsid w:val="005457C3"/>
    <w:rsid w:val="005457D0"/>
    <w:rsid w:val="005458F0"/>
    <w:rsid w:val="00545BAF"/>
    <w:rsid w:val="00545C40"/>
    <w:rsid w:val="00545CA4"/>
    <w:rsid w:val="00546248"/>
    <w:rsid w:val="0054640A"/>
    <w:rsid w:val="005465E8"/>
    <w:rsid w:val="00547E23"/>
    <w:rsid w:val="00547EAE"/>
    <w:rsid w:val="0055054F"/>
    <w:rsid w:val="00550565"/>
    <w:rsid w:val="005509A7"/>
    <w:rsid w:val="005512CA"/>
    <w:rsid w:val="00551524"/>
    <w:rsid w:val="00551ACE"/>
    <w:rsid w:val="00551DB2"/>
    <w:rsid w:val="0055230B"/>
    <w:rsid w:val="00552EEB"/>
    <w:rsid w:val="00552F62"/>
    <w:rsid w:val="00553129"/>
    <w:rsid w:val="00553384"/>
    <w:rsid w:val="00553BE7"/>
    <w:rsid w:val="0055434E"/>
    <w:rsid w:val="0055444E"/>
    <w:rsid w:val="005547BA"/>
    <w:rsid w:val="00555452"/>
    <w:rsid w:val="00555571"/>
    <w:rsid w:val="00555CAA"/>
    <w:rsid w:val="00555CF6"/>
    <w:rsid w:val="00555EB3"/>
    <w:rsid w:val="005567B5"/>
    <w:rsid w:val="005567F0"/>
    <w:rsid w:val="005572C4"/>
    <w:rsid w:val="00557394"/>
    <w:rsid w:val="005575BE"/>
    <w:rsid w:val="00557683"/>
    <w:rsid w:val="0055775B"/>
    <w:rsid w:val="005579EE"/>
    <w:rsid w:val="00557BFF"/>
    <w:rsid w:val="00557D17"/>
    <w:rsid w:val="0056025E"/>
    <w:rsid w:val="00560540"/>
    <w:rsid w:val="0056091D"/>
    <w:rsid w:val="0056095D"/>
    <w:rsid w:val="0056127A"/>
    <w:rsid w:val="00561609"/>
    <w:rsid w:val="0056226B"/>
    <w:rsid w:val="0056248B"/>
    <w:rsid w:val="00562755"/>
    <w:rsid w:val="00562984"/>
    <w:rsid w:val="00562A6F"/>
    <w:rsid w:val="00562C3E"/>
    <w:rsid w:val="00563D28"/>
    <w:rsid w:val="005643AD"/>
    <w:rsid w:val="0056444D"/>
    <w:rsid w:val="005650BB"/>
    <w:rsid w:val="0056571F"/>
    <w:rsid w:val="005662D3"/>
    <w:rsid w:val="0056648B"/>
    <w:rsid w:val="005666DA"/>
    <w:rsid w:val="0056705F"/>
    <w:rsid w:val="00567064"/>
    <w:rsid w:val="00567239"/>
    <w:rsid w:val="00567833"/>
    <w:rsid w:val="00567835"/>
    <w:rsid w:val="00567A63"/>
    <w:rsid w:val="00567F3B"/>
    <w:rsid w:val="00570435"/>
    <w:rsid w:val="00570589"/>
    <w:rsid w:val="00570F66"/>
    <w:rsid w:val="005716C4"/>
    <w:rsid w:val="00571929"/>
    <w:rsid w:val="00571B48"/>
    <w:rsid w:val="00571FAA"/>
    <w:rsid w:val="00572639"/>
    <w:rsid w:val="005729F1"/>
    <w:rsid w:val="00572C33"/>
    <w:rsid w:val="005735FD"/>
    <w:rsid w:val="0057364C"/>
    <w:rsid w:val="00573D31"/>
    <w:rsid w:val="00574A21"/>
    <w:rsid w:val="00574CBB"/>
    <w:rsid w:val="00575285"/>
    <w:rsid w:val="005758FD"/>
    <w:rsid w:val="00576560"/>
    <w:rsid w:val="005772A9"/>
    <w:rsid w:val="00577469"/>
    <w:rsid w:val="00577802"/>
    <w:rsid w:val="00577BF5"/>
    <w:rsid w:val="0058078A"/>
    <w:rsid w:val="00582112"/>
    <w:rsid w:val="0058216E"/>
    <w:rsid w:val="00582278"/>
    <w:rsid w:val="00583622"/>
    <w:rsid w:val="00583AC4"/>
    <w:rsid w:val="00583D7D"/>
    <w:rsid w:val="00583E82"/>
    <w:rsid w:val="00584012"/>
    <w:rsid w:val="005843DD"/>
    <w:rsid w:val="0058501B"/>
    <w:rsid w:val="005855AD"/>
    <w:rsid w:val="00585A89"/>
    <w:rsid w:val="00585E5A"/>
    <w:rsid w:val="00586604"/>
    <w:rsid w:val="00586749"/>
    <w:rsid w:val="00586A58"/>
    <w:rsid w:val="005870A3"/>
    <w:rsid w:val="00587139"/>
    <w:rsid w:val="005875FA"/>
    <w:rsid w:val="00587C73"/>
    <w:rsid w:val="005900E2"/>
    <w:rsid w:val="0059078D"/>
    <w:rsid w:val="005909B5"/>
    <w:rsid w:val="00590C1D"/>
    <w:rsid w:val="00590F1B"/>
    <w:rsid w:val="005913F0"/>
    <w:rsid w:val="005914BC"/>
    <w:rsid w:val="0059158D"/>
    <w:rsid w:val="0059174C"/>
    <w:rsid w:val="00592029"/>
    <w:rsid w:val="005920D4"/>
    <w:rsid w:val="0059246B"/>
    <w:rsid w:val="00592548"/>
    <w:rsid w:val="005928C5"/>
    <w:rsid w:val="00593165"/>
    <w:rsid w:val="005935C2"/>
    <w:rsid w:val="005942A4"/>
    <w:rsid w:val="005945C2"/>
    <w:rsid w:val="005953ED"/>
    <w:rsid w:val="00595552"/>
    <w:rsid w:val="0059590C"/>
    <w:rsid w:val="00596429"/>
    <w:rsid w:val="00596A3C"/>
    <w:rsid w:val="00597723"/>
    <w:rsid w:val="00597A48"/>
    <w:rsid w:val="00597BE4"/>
    <w:rsid w:val="005A01B9"/>
    <w:rsid w:val="005A0565"/>
    <w:rsid w:val="005A0DAF"/>
    <w:rsid w:val="005A0F1A"/>
    <w:rsid w:val="005A1C7E"/>
    <w:rsid w:val="005A1CAA"/>
    <w:rsid w:val="005A1F43"/>
    <w:rsid w:val="005A25DE"/>
    <w:rsid w:val="005A27C0"/>
    <w:rsid w:val="005A33C9"/>
    <w:rsid w:val="005A360E"/>
    <w:rsid w:val="005A368F"/>
    <w:rsid w:val="005A4894"/>
    <w:rsid w:val="005A5CC7"/>
    <w:rsid w:val="005A6460"/>
    <w:rsid w:val="005A6579"/>
    <w:rsid w:val="005A6671"/>
    <w:rsid w:val="005A6801"/>
    <w:rsid w:val="005A68A8"/>
    <w:rsid w:val="005A6D20"/>
    <w:rsid w:val="005A6E6E"/>
    <w:rsid w:val="005A7045"/>
    <w:rsid w:val="005A7A3D"/>
    <w:rsid w:val="005A7E6B"/>
    <w:rsid w:val="005B0093"/>
    <w:rsid w:val="005B0A47"/>
    <w:rsid w:val="005B0D78"/>
    <w:rsid w:val="005B1039"/>
    <w:rsid w:val="005B172E"/>
    <w:rsid w:val="005B177A"/>
    <w:rsid w:val="005B2EAE"/>
    <w:rsid w:val="005B31A2"/>
    <w:rsid w:val="005B38D0"/>
    <w:rsid w:val="005B4480"/>
    <w:rsid w:val="005B4C29"/>
    <w:rsid w:val="005B4EAB"/>
    <w:rsid w:val="005B4FB2"/>
    <w:rsid w:val="005B4FBC"/>
    <w:rsid w:val="005B50B0"/>
    <w:rsid w:val="005B5198"/>
    <w:rsid w:val="005B5586"/>
    <w:rsid w:val="005B5650"/>
    <w:rsid w:val="005B5766"/>
    <w:rsid w:val="005B5AEC"/>
    <w:rsid w:val="005B645B"/>
    <w:rsid w:val="005B677A"/>
    <w:rsid w:val="005B6EAD"/>
    <w:rsid w:val="005B72B0"/>
    <w:rsid w:val="005B7D48"/>
    <w:rsid w:val="005B7DDA"/>
    <w:rsid w:val="005C0701"/>
    <w:rsid w:val="005C0A67"/>
    <w:rsid w:val="005C0DA5"/>
    <w:rsid w:val="005C131C"/>
    <w:rsid w:val="005C1556"/>
    <w:rsid w:val="005C2316"/>
    <w:rsid w:val="005C23D1"/>
    <w:rsid w:val="005C3D3F"/>
    <w:rsid w:val="005C3E49"/>
    <w:rsid w:val="005C3E7E"/>
    <w:rsid w:val="005C5C80"/>
    <w:rsid w:val="005C5FC7"/>
    <w:rsid w:val="005C5FF6"/>
    <w:rsid w:val="005C796A"/>
    <w:rsid w:val="005D028C"/>
    <w:rsid w:val="005D02D7"/>
    <w:rsid w:val="005D039E"/>
    <w:rsid w:val="005D09C9"/>
    <w:rsid w:val="005D1A34"/>
    <w:rsid w:val="005D1CD2"/>
    <w:rsid w:val="005D1EBC"/>
    <w:rsid w:val="005D2092"/>
    <w:rsid w:val="005D21AE"/>
    <w:rsid w:val="005D24B2"/>
    <w:rsid w:val="005D2710"/>
    <w:rsid w:val="005D2D04"/>
    <w:rsid w:val="005D3236"/>
    <w:rsid w:val="005D347A"/>
    <w:rsid w:val="005D3FC8"/>
    <w:rsid w:val="005D4AB0"/>
    <w:rsid w:val="005D55A6"/>
    <w:rsid w:val="005D5C4D"/>
    <w:rsid w:val="005D5E4E"/>
    <w:rsid w:val="005D5FC0"/>
    <w:rsid w:val="005D6071"/>
    <w:rsid w:val="005D6114"/>
    <w:rsid w:val="005D6266"/>
    <w:rsid w:val="005D63D6"/>
    <w:rsid w:val="005D653B"/>
    <w:rsid w:val="005D6FDE"/>
    <w:rsid w:val="005D7975"/>
    <w:rsid w:val="005D7D1E"/>
    <w:rsid w:val="005D7D45"/>
    <w:rsid w:val="005E0660"/>
    <w:rsid w:val="005E076D"/>
    <w:rsid w:val="005E0929"/>
    <w:rsid w:val="005E1093"/>
    <w:rsid w:val="005E2117"/>
    <w:rsid w:val="005E22B0"/>
    <w:rsid w:val="005E306B"/>
    <w:rsid w:val="005E419F"/>
    <w:rsid w:val="005E41DB"/>
    <w:rsid w:val="005E48EE"/>
    <w:rsid w:val="005E522D"/>
    <w:rsid w:val="005E56C3"/>
    <w:rsid w:val="005E6CED"/>
    <w:rsid w:val="005E6D19"/>
    <w:rsid w:val="005E762C"/>
    <w:rsid w:val="005E7AC1"/>
    <w:rsid w:val="005E7B8C"/>
    <w:rsid w:val="005E7D17"/>
    <w:rsid w:val="005E7D91"/>
    <w:rsid w:val="005E7EA2"/>
    <w:rsid w:val="005F0721"/>
    <w:rsid w:val="005F09A9"/>
    <w:rsid w:val="005F142D"/>
    <w:rsid w:val="005F14AD"/>
    <w:rsid w:val="005F1941"/>
    <w:rsid w:val="005F1A1A"/>
    <w:rsid w:val="005F2252"/>
    <w:rsid w:val="005F248E"/>
    <w:rsid w:val="005F2E21"/>
    <w:rsid w:val="005F2EFC"/>
    <w:rsid w:val="005F3A9C"/>
    <w:rsid w:val="005F3BA4"/>
    <w:rsid w:val="005F3FC1"/>
    <w:rsid w:val="005F417F"/>
    <w:rsid w:val="005F46E8"/>
    <w:rsid w:val="005F4DDC"/>
    <w:rsid w:val="005F4EEA"/>
    <w:rsid w:val="005F4F6D"/>
    <w:rsid w:val="005F517C"/>
    <w:rsid w:val="005F550E"/>
    <w:rsid w:val="005F59D8"/>
    <w:rsid w:val="005F5BC0"/>
    <w:rsid w:val="005F5CA4"/>
    <w:rsid w:val="005F6306"/>
    <w:rsid w:val="005F650B"/>
    <w:rsid w:val="005F6EFA"/>
    <w:rsid w:val="005F7020"/>
    <w:rsid w:val="005F7BD7"/>
    <w:rsid w:val="00600A47"/>
    <w:rsid w:val="00600C43"/>
    <w:rsid w:val="006015B7"/>
    <w:rsid w:val="006015BC"/>
    <w:rsid w:val="006018D5"/>
    <w:rsid w:val="00601A36"/>
    <w:rsid w:val="00601D7A"/>
    <w:rsid w:val="0060252A"/>
    <w:rsid w:val="006031C9"/>
    <w:rsid w:val="00603A8F"/>
    <w:rsid w:val="006040CE"/>
    <w:rsid w:val="0060483E"/>
    <w:rsid w:val="00604A7E"/>
    <w:rsid w:val="00605849"/>
    <w:rsid w:val="00605CD2"/>
    <w:rsid w:val="006061AB"/>
    <w:rsid w:val="00606339"/>
    <w:rsid w:val="0060708F"/>
    <w:rsid w:val="006077D4"/>
    <w:rsid w:val="00607FDC"/>
    <w:rsid w:val="006103C0"/>
    <w:rsid w:val="00610B4A"/>
    <w:rsid w:val="00610BE9"/>
    <w:rsid w:val="00610DC1"/>
    <w:rsid w:val="00610FDB"/>
    <w:rsid w:val="0061107E"/>
    <w:rsid w:val="00611246"/>
    <w:rsid w:val="006114A2"/>
    <w:rsid w:val="00611BA9"/>
    <w:rsid w:val="00611C76"/>
    <w:rsid w:val="006125D0"/>
    <w:rsid w:val="0061272D"/>
    <w:rsid w:val="00612825"/>
    <w:rsid w:val="00612F45"/>
    <w:rsid w:val="00613C71"/>
    <w:rsid w:val="00614130"/>
    <w:rsid w:val="006145B0"/>
    <w:rsid w:val="006147E4"/>
    <w:rsid w:val="006149CB"/>
    <w:rsid w:val="00614B6F"/>
    <w:rsid w:val="00614E13"/>
    <w:rsid w:val="00614E8B"/>
    <w:rsid w:val="006155B7"/>
    <w:rsid w:val="00615700"/>
    <w:rsid w:val="0061589A"/>
    <w:rsid w:val="00615A7E"/>
    <w:rsid w:val="00615AFD"/>
    <w:rsid w:val="00615BD3"/>
    <w:rsid w:val="00615BD7"/>
    <w:rsid w:val="00615CC7"/>
    <w:rsid w:val="00615FDE"/>
    <w:rsid w:val="00616002"/>
    <w:rsid w:val="006162EA"/>
    <w:rsid w:val="00616580"/>
    <w:rsid w:val="006165C0"/>
    <w:rsid w:val="006168AB"/>
    <w:rsid w:val="00617233"/>
    <w:rsid w:val="00617367"/>
    <w:rsid w:val="006173B7"/>
    <w:rsid w:val="006174B1"/>
    <w:rsid w:val="0061780E"/>
    <w:rsid w:val="006179A6"/>
    <w:rsid w:val="00617D61"/>
    <w:rsid w:val="00620279"/>
    <w:rsid w:val="006202ED"/>
    <w:rsid w:val="00620464"/>
    <w:rsid w:val="006205DB"/>
    <w:rsid w:val="00620AF8"/>
    <w:rsid w:val="0062106B"/>
    <w:rsid w:val="00621671"/>
    <w:rsid w:val="0062221B"/>
    <w:rsid w:val="0062379C"/>
    <w:rsid w:val="00623BFB"/>
    <w:rsid w:val="00623C1C"/>
    <w:rsid w:val="00624ACC"/>
    <w:rsid w:val="00624C5F"/>
    <w:rsid w:val="00625089"/>
    <w:rsid w:val="006262A3"/>
    <w:rsid w:val="00626726"/>
    <w:rsid w:val="00626BD3"/>
    <w:rsid w:val="00627E02"/>
    <w:rsid w:val="00627F17"/>
    <w:rsid w:val="00630217"/>
    <w:rsid w:val="0063052A"/>
    <w:rsid w:val="006311BE"/>
    <w:rsid w:val="00631A1F"/>
    <w:rsid w:val="00631DC5"/>
    <w:rsid w:val="00631FD8"/>
    <w:rsid w:val="0063216C"/>
    <w:rsid w:val="006324B5"/>
    <w:rsid w:val="00633036"/>
    <w:rsid w:val="0063306F"/>
    <w:rsid w:val="006342A3"/>
    <w:rsid w:val="006346E8"/>
    <w:rsid w:val="00634EBC"/>
    <w:rsid w:val="00634F72"/>
    <w:rsid w:val="006351B6"/>
    <w:rsid w:val="006353A6"/>
    <w:rsid w:val="0063550E"/>
    <w:rsid w:val="006355A3"/>
    <w:rsid w:val="00635A80"/>
    <w:rsid w:val="0063672B"/>
    <w:rsid w:val="00636A76"/>
    <w:rsid w:val="00637B86"/>
    <w:rsid w:val="0064053C"/>
    <w:rsid w:val="00641738"/>
    <w:rsid w:val="006419D4"/>
    <w:rsid w:val="00641B92"/>
    <w:rsid w:val="00642D77"/>
    <w:rsid w:val="006435C6"/>
    <w:rsid w:val="0064369C"/>
    <w:rsid w:val="006447CE"/>
    <w:rsid w:val="00645268"/>
    <w:rsid w:val="0064533A"/>
    <w:rsid w:val="00645607"/>
    <w:rsid w:val="006465BA"/>
    <w:rsid w:val="0064662D"/>
    <w:rsid w:val="006473C0"/>
    <w:rsid w:val="0064793B"/>
    <w:rsid w:val="00647C9A"/>
    <w:rsid w:val="0065001F"/>
    <w:rsid w:val="0065037D"/>
    <w:rsid w:val="00650A83"/>
    <w:rsid w:val="00650AD6"/>
    <w:rsid w:val="00651757"/>
    <w:rsid w:val="00651CF1"/>
    <w:rsid w:val="00651E8D"/>
    <w:rsid w:val="00651FEC"/>
    <w:rsid w:val="0065240C"/>
    <w:rsid w:val="00652441"/>
    <w:rsid w:val="00652E89"/>
    <w:rsid w:val="0065383D"/>
    <w:rsid w:val="006539F1"/>
    <w:rsid w:val="0065400A"/>
    <w:rsid w:val="00655474"/>
    <w:rsid w:val="0065550B"/>
    <w:rsid w:val="00655733"/>
    <w:rsid w:val="00655743"/>
    <w:rsid w:val="00655D5A"/>
    <w:rsid w:val="00655ED4"/>
    <w:rsid w:val="0065601A"/>
    <w:rsid w:val="006567A6"/>
    <w:rsid w:val="00656D9B"/>
    <w:rsid w:val="0065705B"/>
    <w:rsid w:val="006573E4"/>
    <w:rsid w:val="0065771D"/>
    <w:rsid w:val="00657B9E"/>
    <w:rsid w:val="00657C0C"/>
    <w:rsid w:val="00657DAC"/>
    <w:rsid w:val="006602B0"/>
    <w:rsid w:val="00660566"/>
    <w:rsid w:val="00660685"/>
    <w:rsid w:val="00660AD9"/>
    <w:rsid w:val="006625FF"/>
    <w:rsid w:val="00662765"/>
    <w:rsid w:val="00662B57"/>
    <w:rsid w:val="006632E9"/>
    <w:rsid w:val="00663644"/>
    <w:rsid w:val="006636B8"/>
    <w:rsid w:val="00663758"/>
    <w:rsid w:val="00663A97"/>
    <w:rsid w:val="006641B3"/>
    <w:rsid w:val="006644CE"/>
    <w:rsid w:val="006645C0"/>
    <w:rsid w:val="00664876"/>
    <w:rsid w:val="00664A8B"/>
    <w:rsid w:val="00665923"/>
    <w:rsid w:val="006659DB"/>
    <w:rsid w:val="00666115"/>
    <w:rsid w:val="006669AE"/>
    <w:rsid w:val="00666B25"/>
    <w:rsid w:val="006670BF"/>
    <w:rsid w:val="00667265"/>
    <w:rsid w:val="00667536"/>
    <w:rsid w:val="00667615"/>
    <w:rsid w:val="0066766C"/>
    <w:rsid w:val="00667ADF"/>
    <w:rsid w:val="00667CB2"/>
    <w:rsid w:val="006701AE"/>
    <w:rsid w:val="00671628"/>
    <w:rsid w:val="006716D6"/>
    <w:rsid w:val="006718DF"/>
    <w:rsid w:val="00671BAF"/>
    <w:rsid w:val="00671D67"/>
    <w:rsid w:val="00671E6A"/>
    <w:rsid w:val="00671EBE"/>
    <w:rsid w:val="006728C4"/>
    <w:rsid w:val="00672A92"/>
    <w:rsid w:val="0067340B"/>
    <w:rsid w:val="00673563"/>
    <w:rsid w:val="00673A02"/>
    <w:rsid w:val="00673DCB"/>
    <w:rsid w:val="006747A1"/>
    <w:rsid w:val="00674898"/>
    <w:rsid w:val="006748D5"/>
    <w:rsid w:val="00674BF2"/>
    <w:rsid w:val="00675094"/>
    <w:rsid w:val="00675235"/>
    <w:rsid w:val="0067548A"/>
    <w:rsid w:val="00675D89"/>
    <w:rsid w:val="00675EB7"/>
    <w:rsid w:val="00676004"/>
    <w:rsid w:val="00676267"/>
    <w:rsid w:val="00676274"/>
    <w:rsid w:val="0067641D"/>
    <w:rsid w:val="006765E1"/>
    <w:rsid w:val="00676804"/>
    <w:rsid w:val="0067690C"/>
    <w:rsid w:val="00676C97"/>
    <w:rsid w:val="00676DC9"/>
    <w:rsid w:val="00677096"/>
    <w:rsid w:val="006774AB"/>
    <w:rsid w:val="006805E1"/>
    <w:rsid w:val="0068081A"/>
    <w:rsid w:val="00681891"/>
    <w:rsid w:val="006818B9"/>
    <w:rsid w:val="00681E0D"/>
    <w:rsid w:val="00681FA9"/>
    <w:rsid w:val="006821C7"/>
    <w:rsid w:val="006827A1"/>
    <w:rsid w:val="00682819"/>
    <w:rsid w:val="00682861"/>
    <w:rsid w:val="00682FC0"/>
    <w:rsid w:val="00683395"/>
    <w:rsid w:val="00683415"/>
    <w:rsid w:val="00683A9A"/>
    <w:rsid w:val="00683B7C"/>
    <w:rsid w:val="00683DCC"/>
    <w:rsid w:val="0068421D"/>
    <w:rsid w:val="006842E9"/>
    <w:rsid w:val="00684564"/>
    <w:rsid w:val="0068463D"/>
    <w:rsid w:val="00684ACA"/>
    <w:rsid w:val="00684CFF"/>
    <w:rsid w:val="00684F17"/>
    <w:rsid w:val="00685724"/>
    <w:rsid w:val="00686CA4"/>
    <w:rsid w:val="006878CB"/>
    <w:rsid w:val="006879F7"/>
    <w:rsid w:val="00690049"/>
    <w:rsid w:val="006903F3"/>
    <w:rsid w:val="00690669"/>
    <w:rsid w:val="006908E1"/>
    <w:rsid w:val="0069096D"/>
    <w:rsid w:val="006909AF"/>
    <w:rsid w:val="006919B5"/>
    <w:rsid w:val="00691C37"/>
    <w:rsid w:val="00691E5B"/>
    <w:rsid w:val="00692E68"/>
    <w:rsid w:val="00693560"/>
    <w:rsid w:val="00693619"/>
    <w:rsid w:val="00693A68"/>
    <w:rsid w:val="00693AA2"/>
    <w:rsid w:val="00694111"/>
    <w:rsid w:val="006945A5"/>
    <w:rsid w:val="00694CB7"/>
    <w:rsid w:val="00694F99"/>
    <w:rsid w:val="00695547"/>
    <w:rsid w:val="00695840"/>
    <w:rsid w:val="00695FF6"/>
    <w:rsid w:val="00696197"/>
    <w:rsid w:val="00697473"/>
    <w:rsid w:val="00697AFA"/>
    <w:rsid w:val="00697C38"/>
    <w:rsid w:val="006A0866"/>
    <w:rsid w:val="006A1520"/>
    <w:rsid w:val="006A19F9"/>
    <w:rsid w:val="006A279F"/>
    <w:rsid w:val="006A2906"/>
    <w:rsid w:val="006A2E70"/>
    <w:rsid w:val="006A2F5A"/>
    <w:rsid w:val="006A30B7"/>
    <w:rsid w:val="006A3514"/>
    <w:rsid w:val="006A36FF"/>
    <w:rsid w:val="006A3B4A"/>
    <w:rsid w:val="006A435F"/>
    <w:rsid w:val="006A46C7"/>
    <w:rsid w:val="006A47E8"/>
    <w:rsid w:val="006A4EB4"/>
    <w:rsid w:val="006A50C6"/>
    <w:rsid w:val="006A5181"/>
    <w:rsid w:val="006A5AF7"/>
    <w:rsid w:val="006A6163"/>
    <w:rsid w:val="006A64D8"/>
    <w:rsid w:val="006A68CD"/>
    <w:rsid w:val="006A6A73"/>
    <w:rsid w:val="006A6D4F"/>
    <w:rsid w:val="006A7313"/>
    <w:rsid w:val="006A7AEF"/>
    <w:rsid w:val="006A7CD4"/>
    <w:rsid w:val="006A7D0F"/>
    <w:rsid w:val="006A7E1E"/>
    <w:rsid w:val="006A7F93"/>
    <w:rsid w:val="006A7FA4"/>
    <w:rsid w:val="006B002C"/>
    <w:rsid w:val="006B02BB"/>
    <w:rsid w:val="006B0A96"/>
    <w:rsid w:val="006B0B34"/>
    <w:rsid w:val="006B0B3F"/>
    <w:rsid w:val="006B1072"/>
    <w:rsid w:val="006B17E6"/>
    <w:rsid w:val="006B1D5C"/>
    <w:rsid w:val="006B2902"/>
    <w:rsid w:val="006B2B9E"/>
    <w:rsid w:val="006B3279"/>
    <w:rsid w:val="006B3644"/>
    <w:rsid w:val="006B3928"/>
    <w:rsid w:val="006B3C0A"/>
    <w:rsid w:val="006B3DAC"/>
    <w:rsid w:val="006B3F98"/>
    <w:rsid w:val="006B40D6"/>
    <w:rsid w:val="006B443D"/>
    <w:rsid w:val="006B4A4A"/>
    <w:rsid w:val="006B4B1F"/>
    <w:rsid w:val="006B4B8D"/>
    <w:rsid w:val="006B520E"/>
    <w:rsid w:val="006B5485"/>
    <w:rsid w:val="006B57BD"/>
    <w:rsid w:val="006B57F8"/>
    <w:rsid w:val="006B5A0B"/>
    <w:rsid w:val="006B5E39"/>
    <w:rsid w:val="006B64B2"/>
    <w:rsid w:val="006B68C5"/>
    <w:rsid w:val="006B6DCE"/>
    <w:rsid w:val="006B7412"/>
    <w:rsid w:val="006C0131"/>
    <w:rsid w:val="006C060F"/>
    <w:rsid w:val="006C17D5"/>
    <w:rsid w:val="006C24CB"/>
    <w:rsid w:val="006C28F6"/>
    <w:rsid w:val="006C2CBA"/>
    <w:rsid w:val="006C332C"/>
    <w:rsid w:val="006C3344"/>
    <w:rsid w:val="006C339A"/>
    <w:rsid w:val="006C390B"/>
    <w:rsid w:val="006C3A92"/>
    <w:rsid w:val="006C3B5B"/>
    <w:rsid w:val="006C43E8"/>
    <w:rsid w:val="006C4619"/>
    <w:rsid w:val="006C496E"/>
    <w:rsid w:val="006C4A4E"/>
    <w:rsid w:val="006C5251"/>
    <w:rsid w:val="006C548D"/>
    <w:rsid w:val="006C5805"/>
    <w:rsid w:val="006C5961"/>
    <w:rsid w:val="006C5EDD"/>
    <w:rsid w:val="006C613F"/>
    <w:rsid w:val="006C61EA"/>
    <w:rsid w:val="006C67CD"/>
    <w:rsid w:val="006C6A86"/>
    <w:rsid w:val="006D00D0"/>
    <w:rsid w:val="006D0733"/>
    <w:rsid w:val="006D07F3"/>
    <w:rsid w:val="006D1401"/>
    <w:rsid w:val="006D1CD5"/>
    <w:rsid w:val="006D280A"/>
    <w:rsid w:val="006D3432"/>
    <w:rsid w:val="006D37C0"/>
    <w:rsid w:val="006D3C01"/>
    <w:rsid w:val="006D3E74"/>
    <w:rsid w:val="006D47D7"/>
    <w:rsid w:val="006D4D2A"/>
    <w:rsid w:val="006D50D9"/>
    <w:rsid w:val="006D523C"/>
    <w:rsid w:val="006D55A6"/>
    <w:rsid w:val="006D69BF"/>
    <w:rsid w:val="006D6ABE"/>
    <w:rsid w:val="006D73BD"/>
    <w:rsid w:val="006D7A36"/>
    <w:rsid w:val="006D7BE5"/>
    <w:rsid w:val="006D7CA7"/>
    <w:rsid w:val="006E086B"/>
    <w:rsid w:val="006E0C1F"/>
    <w:rsid w:val="006E15F9"/>
    <w:rsid w:val="006E1CB3"/>
    <w:rsid w:val="006E1D43"/>
    <w:rsid w:val="006E1EBD"/>
    <w:rsid w:val="006E1F6A"/>
    <w:rsid w:val="006E2138"/>
    <w:rsid w:val="006E293C"/>
    <w:rsid w:val="006E29C4"/>
    <w:rsid w:val="006E2AEB"/>
    <w:rsid w:val="006E2CD7"/>
    <w:rsid w:val="006E322A"/>
    <w:rsid w:val="006E3DF6"/>
    <w:rsid w:val="006E3E74"/>
    <w:rsid w:val="006E4191"/>
    <w:rsid w:val="006E4736"/>
    <w:rsid w:val="006E4B30"/>
    <w:rsid w:val="006E50E5"/>
    <w:rsid w:val="006E58FB"/>
    <w:rsid w:val="006E5A6D"/>
    <w:rsid w:val="006E5F02"/>
    <w:rsid w:val="006E60E6"/>
    <w:rsid w:val="006E6133"/>
    <w:rsid w:val="006E660A"/>
    <w:rsid w:val="006E66DD"/>
    <w:rsid w:val="006E66FF"/>
    <w:rsid w:val="006E6782"/>
    <w:rsid w:val="006E67ED"/>
    <w:rsid w:val="006E6D31"/>
    <w:rsid w:val="006E6DE5"/>
    <w:rsid w:val="006E6DE8"/>
    <w:rsid w:val="006E74D0"/>
    <w:rsid w:val="006E7835"/>
    <w:rsid w:val="006E7F7D"/>
    <w:rsid w:val="006F08E5"/>
    <w:rsid w:val="006F09E4"/>
    <w:rsid w:val="006F0FAC"/>
    <w:rsid w:val="006F1378"/>
    <w:rsid w:val="006F182B"/>
    <w:rsid w:val="006F191A"/>
    <w:rsid w:val="006F1CA4"/>
    <w:rsid w:val="006F1E32"/>
    <w:rsid w:val="006F27C9"/>
    <w:rsid w:val="006F2BB6"/>
    <w:rsid w:val="006F2DEA"/>
    <w:rsid w:val="006F3257"/>
    <w:rsid w:val="006F3383"/>
    <w:rsid w:val="006F41C6"/>
    <w:rsid w:val="006F4E28"/>
    <w:rsid w:val="006F4E47"/>
    <w:rsid w:val="006F4F74"/>
    <w:rsid w:val="006F4F83"/>
    <w:rsid w:val="006F5082"/>
    <w:rsid w:val="006F55CC"/>
    <w:rsid w:val="006F57B4"/>
    <w:rsid w:val="006F5A08"/>
    <w:rsid w:val="006F5F88"/>
    <w:rsid w:val="006F7338"/>
    <w:rsid w:val="006F7528"/>
    <w:rsid w:val="006F75F8"/>
    <w:rsid w:val="006F7AE0"/>
    <w:rsid w:val="006F7CF6"/>
    <w:rsid w:val="0070062F"/>
    <w:rsid w:val="00700E0E"/>
    <w:rsid w:val="007012C6"/>
    <w:rsid w:val="0070171A"/>
    <w:rsid w:val="00701A34"/>
    <w:rsid w:val="00701BBD"/>
    <w:rsid w:val="00701DDB"/>
    <w:rsid w:val="007026A5"/>
    <w:rsid w:val="0070295A"/>
    <w:rsid w:val="00702CD3"/>
    <w:rsid w:val="00703474"/>
    <w:rsid w:val="00703690"/>
    <w:rsid w:val="00704215"/>
    <w:rsid w:val="007042AD"/>
    <w:rsid w:val="007043C7"/>
    <w:rsid w:val="00704505"/>
    <w:rsid w:val="00704D21"/>
    <w:rsid w:val="00705047"/>
    <w:rsid w:val="0070522C"/>
    <w:rsid w:val="007055D9"/>
    <w:rsid w:val="00705879"/>
    <w:rsid w:val="0070597A"/>
    <w:rsid w:val="00705B15"/>
    <w:rsid w:val="00705E7C"/>
    <w:rsid w:val="00706108"/>
    <w:rsid w:val="0070616D"/>
    <w:rsid w:val="00706FD8"/>
    <w:rsid w:val="00707CAA"/>
    <w:rsid w:val="0071062B"/>
    <w:rsid w:val="00710635"/>
    <w:rsid w:val="00710810"/>
    <w:rsid w:val="0071084D"/>
    <w:rsid w:val="00710A02"/>
    <w:rsid w:val="007112DD"/>
    <w:rsid w:val="0071131F"/>
    <w:rsid w:val="007119A9"/>
    <w:rsid w:val="00711C78"/>
    <w:rsid w:val="00712BA1"/>
    <w:rsid w:val="00712CB5"/>
    <w:rsid w:val="00713266"/>
    <w:rsid w:val="0071381F"/>
    <w:rsid w:val="00713A02"/>
    <w:rsid w:val="00713B5A"/>
    <w:rsid w:val="00713E07"/>
    <w:rsid w:val="007140A8"/>
    <w:rsid w:val="0071431F"/>
    <w:rsid w:val="007144BE"/>
    <w:rsid w:val="0071470E"/>
    <w:rsid w:val="00714DD9"/>
    <w:rsid w:val="00714FAB"/>
    <w:rsid w:val="007159FC"/>
    <w:rsid w:val="00715B14"/>
    <w:rsid w:val="00715B8E"/>
    <w:rsid w:val="00716042"/>
    <w:rsid w:val="00716725"/>
    <w:rsid w:val="00717042"/>
    <w:rsid w:val="00717371"/>
    <w:rsid w:val="00717A9E"/>
    <w:rsid w:val="00717D24"/>
    <w:rsid w:val="0072016B"/>
    <w:rsid w:val="00720379"/>
    <w:rsid w:val="00720621"/>
    <w:rsid w:val="00720B9C"/>
    <w:rsid w:val="00720C30"/>
    <w:rsid w:val="00720C92"/>
    <w:rsid w:val="00720D64"/>
    <w:rsid w:val="00720F92"/>
    <w:rsid w:val="0072111F"/>
    <w:rsid w:val="00721B81"/>
    <w:rsid w:val="00721D3F"/>
    <w:rsid w:val="00721E79"/>
    <w:rsid w:val="0072222E"/>
    <w:rsid w:val="00722697"/>
    <w:rsid w:val="007228E4"/>
    <w:rsid w:val="00722FDA"/>
    <w:rsid w:val="00723329"/>
    <w:rsid w:val="007233BA"/>
    <w:rsid w:val="007236D6"/>
    <w:rsid w:val="00723CC6"/>
    <w:rsid w:val="00723CD8"/>
    <w:rsid w:val="00724181"/>
    <w:rsid w:val="00724756"/>
    <w:rsid w:val="0072518D"/>
    <w:rsid w:val="0072525A"/>
    <w:rsid w:val="007255E7"/>
    <w:rsid w:val="00725DC5"/>
    <w:rsid w:val="00725E63"/>
    <w:rsid w:val="00726142"/>
    <w:rsid w:val="007274A8"/>
    <w:rsid w:val="00727559"/>
    <w:rsid w:val="007277FB"/>
    <w:rsid w:val="00727D61"/>
    <w:rsid w:val="007303AC"/>
    <w:rsid w:val="0073106E"/>
    <w:rsid w:val="007311E2"/>
    <w:rsid w:val="00732C01"/>
    <w:rsid w:val="00732C38"/>
    <w:rsid w:val="007332DE"/>
    <w:rsid w:val="0073386A"/>
    <w:rsid w:val="0073434C"/>
    <w:rsid w:val="0073506F"/>
    <w:rsid w:val="00735105"/>
    <w:rsid w:val="00735A6D"/>
    <w:rsid w:val="00735E32"/>
    <w:rsid w:val="007367D5"/>
    <w:rsid w:val="00736D0A"/>
    <w:rsid w:val="00737492"/>
    <w:rsid w:val="00737516"/>
    <w:rsid w:val="007375BD"/>
    <w:rsid w:val="00737679"/>
    <w:rsid w:val="007377AA"/>
    <w:rsid w:val="0073784C"/>
    <w:rsid w:val="00737F23"/>
    <w:rsid w:val="00740318"/>
    <w:rsid w:val="007404E6"/>
    <w:rsid w:val="00740578"/>
    <w:rsid w:val="00740BFA"/>
    <w:rsid w:val="00740DAC"/>
    <w:rsid w:val="00740EB2"/>
    <w:rsid w:val="00740EE6"/>
    <w:rsid w:val="00741999"/>
    <w:rsid w:val="00742406"/>
    <w:rsid w:val="00742644"/>
    <w:rsid w:val="007433DC"/>
    <w:rsid w:val="0074368D"/>
    <w:rsid w:val="007437E6"/>
    <w:rsid w:val="007438D0"/>
    <w:rsid w:val="00743F4C"/>
    <w:rsid w:val="00744114"/>
    <w:rsid w:val="007441AB"/>
    <w:rsid w:val="00744675"/>
    <w:rsid w:val="00744FB5"/>
    <w:rsid w:val="0074557D"/>
    <w:rsid w:val="00745DAF"/>
    <w:rsid w:val="0074608A"/>
    <w:rsid w:val="007469E4"/>
    <w:rsid w:val="00747027"/>
    <w:rsid w:val="00747511"/>
    <w:rsid w:val="00747569"/>
    <w:rsid w:val="00747CDF"/>
    <w:rsid w:val="007501FF"/>
    <w:rsid w:val="007506E0"/>
    <w:rsid w:val="007508C5"/>
    <w:rsid w:val="007510C5"/>
    <w:rsid w:val="0075111C"/>
    <w:rsid w:val="0075140F"/>
    <w:rsid w:val="00751AA6"/>
    <w:rsid w:val="00751CE4"/>
    <w:rsid w:val="00751E79"/>
    <w:rsid w:val="007521E8"/>
    <w:rsid w:val="00752220"/>
    <w:rsid w:val="0075327D"/>
    <w:rsid w:val="007532BE"/>
    <w:rsid w:val="0075350B"/>
    <w:rsid w:val="0075372F"/>
    <w:rsid w:val="00753946"/>
    <w:rsid w:val="007542C4"/>
    <w:rsid w:val="0075486E"/>
    <w:rsid w:val="00754DB0"/>
    <w:rsid w:val="007553D6"/>
    <w:rsid w:val="007554D4"/>
    <w:rsid w:val="00755E76"/>
    <w:rsid w:val="00755F9D"/>
    <w:rsid w:val="007564F1"/>
    <w:rsid w:val="007565AB"/>
    <w:rsid w:val="00756907"/>
    <w:rsid w:val="00756D87"/>
    <w:rsid w:val="00757556"/>
    <w:rsid w:val="0075759A"/>
    <w:rsid w:val="007577A3"/>
    <w:rsid w:val="0075798C"/>
    <w:rsid w:val="00757B66"/>
    <w:rsid w:val="00757E79"/>
    <w:rsid w:val="007606B5"/>
    <w:rsid w:val="00760878"/>
    <w:rsid w:val="00760E66"/>
    <w:rsid w:val="00761415"/>
    <w:rsid w:val="00761434"/>
    <w:rsid w:val="007618E5"/>
    <w:rsid w:val="0076198D"/>
    <w:rsid w:val="00761D34"/>
    <w:rsid w:val="00762AAA"/>
    <w:rsid w:val="00763131"/>
    <w:rsid w:val="00763384"/>
    <w:rsid w:val="0076349A"/>
    <w:rsid w:val="0076383A"/>
    <w:rsid w:val="00763D8E"/>
    <w:rsid w:val="00764716"/>
    <w:rsid w:val="00764FC6"/>
    <w:rsid w:val="00765362"/>
    <w:rsid w:val="007657D8"/>
    <w:rsid w:val="00765CC9"/>
    <w:rsid w:val="00766186"/>
    <w:rsid w:val="007666AE"/>
    <w:rsid w:val="007666B0"/>
    <w:rsid w:val="00767856"/>
    <w:rsid w:val="0076788F"/>
    <w:rsid w:val="00767D12"/>
    <w:rsid w:val="00770E4D"/>
    <w:rsid w:val="00770EC0"/>
    <w:rsid w:val="007712BA"/>
    <w:rsid w:val="00771455"/>
    <w:rsid w:val="007719AE"/>
    <w:rsid w:val="007721F2"/>
    <w:rsid w:val="00772244"/>
    <w:rsid w:val="007724E1"/>
    <w:rsid w:val="007724F9"/>
    <w:rsid w:val="00772540"/>
    <w:rsid w:val="00772830"/>
    <w:rsid w:val="007737C4"/>
    <w:rsid w:val="00773E2E"/>
    <w:rsid w:val="00774059"/>
    <w:rsid w:val="00774084"/>
    <w:rsid w:val="00774278"/>
    <w:rsid w:val="00774359"/>
    <w:rsid w:val="00774AA6"/>
    <w:rsid w:val="00775565"/>
    <w:rsid w:val="007757B3"/>
    <w:rsid w:val="00775B46"/>
    <w:rsid w:val="00775CC2"/>
    <w:rsid w:val="0077679B"/>
    <w:rsid w:val="00776B04"/>
    <w:rsid w:val="007771BE"/>
    <w:rsid w:val="00777681"/>
    <w:rsid w:val="00777CAC"/>
    <w:rsid w:val="00777EC0"/>
    <w:rsid w:val="007802B1"/>
    <w:rsid w:val="0078068F"/>
    <w:rsid w:val="007808AA"/>
    <w:rsid w:val="007811BE"/>
    <w:rsid w:val="00781792"/>
    <w:rsid w:val="0078235A"/>
    <w:rsid w:val="007823D0"/>
    <w:rsid w:val="007827D4"/>
    <w:rsid w:val="00782ACD"/>
    <w:rsid w:val="00782AF3"/>
    <w:rsid w:val="00782BCC"/>
    <w:rsid w:val="00783949"/>
    <w:rsid w:val="00783F4E"/>
    <w:rsid w:val="0078405E"/>
    <w:rsid w:val="00784479"/>
    <w:rsid w:val="007847ED"/>
    <w:rsid w:val="00785468"/>
    <w:rsid w:val="007858F8"/>
    <w:rsid w:val="00785C4F"/>
    <w:rsid w:val="007860E4"/>
    <w:rsid w:val="007860F5"/>
    <w:rsid w:val="00786B34"/>
    <w:rsid w:val="00786CDC"/>
    <w:rsid w:val="00786E7D"/>
    <w:rsid w:val="00787483"/>
    <w:rsid w:val="007877C8"/>
    <w:rsid w:val="00790350"/>
    <w:rsid w:val="007909AA"/>
    <w:rsid w:val="00790B6A"/>
    <w:rsid w:val="00790B86"/>
    <w:rsid w:val="00790DDC"/>
    <w:rsid w:val="00791078"/>
    <w:rsid w:val="00791311"/>
    <w:rsid w:val="00791CC6"/>
    <w:rsid w:val="00791CCF"/>
    <w:rsid w:val="00791D7D"/>
    <w:rsid w:val="0079217E"/>
    <w:rsid w:val="007927ED"/>
    <w:rsid w:val="00792B0C"/>
    <w:rsid w:val="0079301B"/>
    <w:rsid w:val="007933DA"/>
    <w:rsid w:val="0079360F"/>
    <w:rsid w:val="00793E73"/>
    <w:rsid w:val="0079452E"/>
    <w:rsid w:val="00794744"/>
    <w:rsid w:val="00794A62"/>
    <w:rsid w:val="00796054"/>
    <w:rsid w:val="007963BA"/>
    <w:rsid w:val="0079683C"/>
    <w:rsid w:val="00796A1D"/>
    <w:rsid w:val="00796A79"/>
    <w:rsid w:val="00796CDA"/>
    <w:rsid w:val="00797307"/>
    <w:rsid w:val="007A025D"/>
    <w:rsid w:val="007A0600"/>
    <w:rsid w:val="007A0698"/>
    <w:rsid w:val="007A0F7B"/>
    <w:rsid w:val="007A1177"/>
    <w:rsid w:val="007A16D2"/>
    <w:rsid w:val="007A199C"/>
    <w:rsid w:val="007A273F"/>
    <w:rsid w:val="007A29C4"/>
    <w:rsid w:val="007A2FB3"/>
    <w:rsid w:val="007A3366"/>
    <w:rsid w:val="007A34DE"/>
    <w:rsid w:val="007A3742"/>
    <w:rsid w:val="007A46D9"/>
    <w:rsid w:val="007A4A8D"/>
    <w:rsid w:val="007A5113"/>
    <w:rsid w:val="007A574E"/>
    <w:rsid w:val="007A57B6"/>
    <w:rsid w:val="007A591B"/>
    <w:rsid w:val="007A5C76"/>
    <w:rsid w:val="007A63A7"/>
    <w:rsid w:val="007A6AB1"/>
    <w:rsid w:val="007A7167"/>
    <w:rsid w:val="007A72D3"/>
    <w:rsid w:val="007A7617"/>
    <w:rsid w:val="007B01AF"/>
    <w:rsid w:val="007B01EC"/>
    <w:rsid w:val="007B0E73"/>
    <w:rsid w:val="007B121C"/>
    <w:rsid w:val="007B1784"/>
    <w:rsid w:val="007B17E0"/>
    <w:rsid w:val="007B1ADA"/>
    <w:rsid w:val="007B1B7F"/>
    <w:rsid w:val="007B1E30"/>
    <w:rsid w:val="007B2006"/>
    <w:rsid w:val="007B33FB"/>
    <w:rsid w:val="007B35EB"/>
    <w:rsid w:val="007B3CD5"/>
    <w:rsid w:val="007B429E"/>
    <w:rsid w:val="007B44D9"/>
    <w:rsid w:val="007B4DFC"/>
    <w:rsid w:val="007B593C"/>
    <w:rsid w:val="007B6150"/>
    <w:rsid w:val="007B67F8"/>
    <w:rsid w:val="007B6EAE"/>
    <w:rsid w:val="007B7836"/>
    <w:rsid w:val="007B7AD4"/>
    <w:rsid w:val="007B7E74"/>
    <w:rsid w:val="007C016B"/>
    <w:rsid w:val="007C0277"/>
    <w:rsid w:val="007C0465"/>
    <w:rsid w:val="007C0DD4"/>
    <w:rsid w:val="007C0F69"/>
    <w:rsid w:val="007C1FD3"/>
    <w:rsid w:val="007C2163"/>
    <w:rsid w:val="007C2367"/>
    <w:rsid w:val="007C23EB"/>
    <w:rsid w:val="007C2688"/>
    <w:rsid w:val="007C27E8"/>
    <w:rsid w:val="007C2B63"/>
    <w:rsid w:val="007C3030"/>
    <w:rsid w:val="007C37A0"/>
    <w:rsid w:val="007C39A8"/>
    <w:rsid w:val="007C3A60"/>
    <w:rsid w:val="007C4A73"/>
    <w:rsid w:val="007C5EC2"/>
    <w:rsid w:val="007C6C73"/>
    <w:rsid w:val="007C6CB7"/>
    <w:rsid w:val="007C6D52"/>
    <w:rsid w:val="007C6F1A"/>
    <w:rsid w:val="007C77F3"/>
    <w:rsid w:val="007C7B64"/>
    <w:rsid w:val="007D01F4"/>
    <w:rsid w:val="007D0281"/>
    <w:rsid w:val="007D02B9"/>
    <w:rsid w:val="007D08C0"/>
    <w:rsid w:val="007D11A1"/>
    <w:rsid w:val="007D1839"/>
    <w:rsid w:val="007D1B40"/>
    <w:rsid w:val="007D2F89"/>
    <w:rsid w:val="007D31AE"/>
    <w:rsid w:val="007D341E"/>
    <w:rsid w:val="007D38D5"/>
    <w:rsid w:val="007D3908"/>
    <w:rsid w:val="007D403B"/>
    <w:rsid w:val="007D425A"/>
    <w:rsid w:val="007D4C88"/>
    <w:rsid w:val="007D5323"/>
    <w:rsid w:val="007D5730"/>
    <w:rsid w:val="007D5777"/>
    <w:rsid w:val="007D5D12"/>
    <w:rsid w:val="007D5FC3"/>
    <w:rsid w:val="007D60EA"/>
    <w:rsid w:val="007D61EE"/>
    <w:rsid w:val="007D6398"/>
    <w:rsid w:val="007D65A0"/>
    <w:rsid w:val="007E053D"/>
    <w:rsid w:val="007E07CA"/>
    <w:rsid w:val="007E08F1"/>
    <w:rsid w:val="007E091C"/>
    <w:rsid w:val="007E0DA1"/>
    <w:rsid w:val="007E0DF9"/>
    <w:rsid w:val="007E0E57"/>
    <w:rsid w:val="007E1517"/>
    <w:rsid w:val="007E19B3"/>
    <w:rsid w:val="007E2752"/>
    <w:rsid w:val="007E2803"/>
    <w:rsid w:val="007E2BD7"/>
    <w:rsid w:val="007E37C6"/>
    <w:rsid w:val="007E383D"/>
    <w:rsid w:val="007E4003"/>
    <w:rsid w:val="007E4175"/>
    <w:rsid w:val="007E42A4"/>
    <w:rsid w:val="007E454F"/>
    <w:rsid w:val="007E467D"/>
    <w:rsid w:val="007E559E"/>
    <w:rsid w:val="007E5D00"/>
    <w:rsid w:val="007E5DFF"/>
    <w:rsid w:val="007E5E0E"/>
    <w:rsid w:val="007E619C"/>
    <w:rsid w:val="007E68AC"/>
    <w:rsid w:val="007E6956"/>
    <w:rsid w:val="007E6987"/>
    <w:rsid w:val="007E6B9C"/>
    <w:rsid w:val="007E6E92"/>
    <w:rsid w:val="007E7338"/>
    <w:rsid w:val="007E7F75"/>
    <w:rsid w:val="007F07E8"/>
    <w:rsid w:val="007F0EBE"/>
    <w:rsid w:val="007F1334"/>
    <w:rsid w:val="007F14C0"/>
    <w:rsid w:val="007F152F"/>
    <w:rsid w:val="007F1691"/>
    <w:rsid w:val="007F17F6"/>
    <w:rsid w:val="007F235A"/>
    <w:rsid w:val="007F29A7"/>
    <w:rsid w:val="007F346F"/>
    <w:rsid w:val="007F3B28"/>
    <w:rsid w:val="007F45BF"/>
    <w:rsid w:val="007F4904"/>
    <w:rsid w:val="007F49D8"/>
    <w:rsid w:val="007F4C75"/>
    <w:rsid w:val="007F5495"/>
    <w:rsid w:val="007F5D5C"/>
    <w:rsid w:val="007F73EF"/>
    <w:rsid w:val="007F74BE"/>
    <w:rsid w:val="007F7647"/>
    <w:rsid w:val="00800821"/>
    <w:rsid w:val="008008FC"/>
    <w:rsid w:val="008010E1"/>
    <w:rsid w:val="008010F2"/>
    <w:rsid w:val="0080126C"/>
    <w:rsid w:val="008015D8"/>
    <w:rsid w:val="00801793"/>
    <w:rsid w:val="00801B3B"/>
    <w:rsid w:val="00801D58"/>
    <w:rsid w:val="00801F05"/>
    <w:rsid w:val="00802083"/>
    <w:rsid w:val="008025F6"/>
    <w:rsid w:val="00802AF5"/>
    <w:rsid w:val="00802D77"/>
    <w:rsid w:val="0080314B"/>
    <w:rsid w:val="008031AB"/>
    <w:rsid w:val="0080330A"/>
    <w:rsid w:val="008033EA"/>
    <w:rsid w:val="00803D35"/>
    <w:rsid w:val="00803E59"/>
    <w:rsid w:val="00804273"/>
    <w:rsid w:val="00804C0F"/>
    <w:rsid w:val="00804DD9"/>
    <w:rsid w:val="00805666"/>
    <w:rsid w:val="00805720"/>
    <w:rsid w:val="0080576D"/>
    <w:rsid w:val="00805ED7"/>
    <w:rsid w:val="00805F95"/>
    <w:rsid w:val="008075F1"/>
    <w:rsid w:val="0080787F"/>
    <w:rsid w:val="00807B68"/>
    <w:rsid w:val="00807CCC"/>
    <w:rsid w:val="0081012D"/>
    <w:rsid w:val="00810386"/>
    <w:rsid w:val="00810451"/>
    <w:rsid w:val="008107D5"/>
    <w:rsid w:val="00810E4E"/>
    <w:rsid w:val="008110E2"/>
    <w:rsid w:val="00811D31"/>
    <w:rsid w:val="00811FDE"/>
    <w:rsid w:val="0081226F"/>
    <w:rsid w:val="008123F0"/>
    <w:rsid w:val="00812B85"/>
    <w:rsid w:val="0081396D"/>
    <w:rsid w:val="00813AFC"/>
    <w:rsid w:val="00813D4C"/>
    <w:rsid w:val="00813D7E"/>
    <w:rsid w:val="0081400E"/>
    <w:rsid w:val="00814013"/>
    <w:rsid w:val="0081534C"/>
    <w:rsid w:val="00815E15"/>
    <w:rsid w:val="00815E81"/>
    <w:rsid w:val="00816451"/>
    <w:rsid w:val="008166FA"/>
    <w:rsid w:val="00816BA8"/>
    <w:rsid w:val="00816F3B"/>
    <w:rsid w:val="008173F5"/>
    <w:rsid w:val="0081754F"/>
    <w:rsid w:val="00817634"/>
    <w:rsid w:val="0081771B"/>
    <w:rsid w:val="0081796E"/>
    <w:rsid w:val="00817C01"/>
    <w:rsid w:val="00817F9C"/>
    <w:rsid w:val="0081EEB8"/>
    <w:rsid w:val="008202A5"/>
    <w:rsid w:val="00820390"/>
    <w:rsid w:val="00820B35"/>
    <w:rsid w:val="00820C8D"/>
    <w:rsid w:val="00820DAA"/>
    <w:rsid w:val="00820DFA"/>
    <w:rsid w:val="00821851"/>
    <w:rsid w:val="00821A46"/>
    <w:rsid w:val="00821B0A"/>
    <w:rsid w:val="008229D2"/>
    <w:rsid w:val="00822F76"/>
    <w:rsid w:val="008230F2"/>
    <w:rsid w:val="008231E7"/>
    <w:rsid w:val="00823462"/>
    <w:rsid w:val="00823B9C"/>
    <w:rsid w:val="00823E07"/>
    <w:rsid w:val="00823E65"/>
    <w:rsid w:val="00823F11"/>
    <w:rsid w:val="00825B8A"/>
    <w:rsid w:val="008260A2"/>
    <w:rsid w:val="0082610A"/>
    <w:rsid w:val="008261E7"/>
    <w:rsid w:val="0082676C"/>
    <w:rsid w:val="00826827"/>
    <w:rsid w:val="00826C41"/>
    <w:rsid w:val="00826E3A"/>
    <w:rsid w:val="008271DA"/>
    <w:rsid w:val="0082791A"/>
    <w:rsid w:val="00827A26"/>
    <w:rsid w:val="00827B49"/>
    <w:rsid w:val="00827C07"/>
    <w:rsid w:val="00827E56"/>
    <w:rsid w:val="00830AD5"/>
    <w:rsid w:val="00830BF1"/>
    <w:rsid w:val="00830CD5"/>
    <w:rsid w:val="00831022"/>
    <w:rsid w:val="00831685"/>
    <w:rsid w:val="00831893"/>
    <w:rsid w:val="00831D8C"/>
    <w:rsid w:val="008321DF"/>
    <w:rsid w:val="0083226F"/>
    <w:rsid w:val="008326C4"/>
    <w:rsid w:val="0083287B"/>
    <w:rsid w:val="00832AB2"/>
    <w:rsid w:val="00833116"/>
    <w:rsid w:val="008331C4"/>
    <w:rsid w:val="00833655"/>
    <w:rsid w:val="00833666"/>
    <w:rsid w:val="00833A1D"/>
    <w:rsid w:val="00833A59"/>
    <w:rsid w:val="00833CD2"/>
    <w:rsid w:val="00834372"/>
    <w:rsid w:val="00834408"/>
    <w:rsid w:val="0083521A"/>
    <w:rsid w:val="008352EF"/>
    <w:rsid w:val="00836259"/>
    <w:rsid w:val="008366C2"/>
    <w:rsid w:val="00836F53"/>
    <w:rsid w:val="008372C1"/>
    <w:rsid w:val="008403E1"/>
    <w:rsid w:val="00840B4E"/>
    <w:rsid w:val="00840C10"/>
    <w:rsid w:val="00840EA3"/>
    <w:rsid w:val="00841DC2"/>
    <w:rsid w:val="008427AA"/>
    <w:rsid w:val="00842AB3"/>
    <w:rsid w:val="008430D8"/>
    <w:rsid w:val="00843D0B"/>
    <w:rsid w:val="008446AA"/>
    <w:rsid w:val="00844AF7"/>
    <w:rsid w:val="00844E1D"/>
    <w:rsid w:val="00845380"/>
    <w:rsid w:val="00845B33"/>
    <w:rsid w:val="00845C56"/>
    <w:rsid w:val="00846397"/>
    <w:rsid w:val="00846480"/>
    <w:rsid w:val="008465AF"/>
    <w:rsid w:val="00846D2F"/>
    <w:rsid w:val="00846EDC"/>
    <w:rsid w:val="00847410"/>
    <w:rsid w:val="00847D4D"/>
    <w:rsid w:val="00850901"/>
    <w:rsid w:val="00850F62"/>
    <w:rsid w:val="008510D1"/>
    <w:rsid w:val="008510EC"/>
    <w:rsid w:val="0085149C"/>
    <w:rsid w:val="00851F33"/>
    <w:rsid w:val="00852B06"/>
    <w:rsid w:val="00852E8F"/>
    <w:rsid w:val="00853010"/>
    <w:rsid w:val="00853A8A"/>
    <w:rsid w:val="00853C42"/>
    <w:rsid w:val="00854423"/>
    <w:rsid w:val="0085448F"/>
    <w:rsid w:val="008546F9"/>
    <w:rsid w:val="008547E0"/>
    <w:rsid w:val="008549F5"/>
    <w:rsid w:val="00854B03"/>
    <w:rsid w:val="00854BD9"/>
    <w:rsid w:val="008551D6"/>
    <w:rsid w:val="008553E2"/>
    <w:rsid w:val="00855B88"/>
    <w:rsid w:val="00855D08"/>
    <w:rsid w:val="008567A3"/>
    <w:rsid w:val="008567C9"/>
    <w:rsid w:val="00856926"/>
    <w:rsid w:val="00856F2B"/>
    <w:rsid w:val="00857127"/>
    <w:rsid w:val="008572DC"/>
    <w:rsid w:val="0085742B"/>
    <w:rsid w:val="00857BE1"/>
    <w:rsid w:val="00857FC7"/>
    <w:rsid w:val="00860476"/>
    <w:rsid w:val="008608CD"/>
    <w:rsid w:val="008609FF"/>
    <w:rsid w:val="00860CF8"/>
    <w:rsid w:val="00860DB0"/>
    <w:rsid w:val="00860ED1"/>
    <w:rsid w:val="00861468"/>
    <w:rsid w:val="0086173E"/>
    <w:rsid w:val="00861FB4"/>
    <w:rsid w:val="0086222B"/>
    <w:rsid w:val="008627AE"/>
    <w:rsid w:val="00862EAC"/>
    <w:rsid w:val="00863084"/>
    <w:rsid w:val="00863115"/>
    <w:rsid w:val="008640E0"/>
    <w:rsid w:val="008647C1"/>
    <w:rsid w:val="00864B9A"/>
    <w:rsid w:val="00865574"/>
    <w:rsid w:val="00865A16"/>
    <w:rsid w:val="00866391"/>
    <w:rsid w:val="008666B0"/>
    <w:rsid w:val="00866B02"/>
    <w:rsid w:val="00866F63"/>
    <w:rsid w:val="008678AA"/>
    <w:rsid w:val="00867E2A"/>
    <w:rsid w:val="00867F55"/>
    <w:rsid w:val="00870072"/>
    <w:rsid w:val="008700BA"/>
    <w:rsid w:val="008702A3"/>
    <w:rsid w:val="008709EF"/>
    <w:rsid w:val="008715C8"/>
    <w:rsid w:val="00871672"/>
    <w:rsid w:val="00871C74"/>
    <w:rsid w:val="00871FC8"/>
    <w:rsid w:val="008728E5"/>
    <w:rsid w:val="00872A26"/>
    <w:rsid w:val="0087366E"/>
    <w:rsid w:val="0087393E"/>
    <w:rsid w:val="008739DF"/>
    <w:rsid w:val="00873ACD"/>
    <w:rsid w:val="00873AEF"/>
    <w:rsid w:val="00874318"/>
    <w:rsid w:val="00874524"/>
    <w:rsid w:val="0087452B"/>
    <w:rsid w:val="00874D94"/>
    <w:rsid w:val="00874E22"/>
    <w:rsid w:val="00874F69"/>
    <w:rsid w:val="008750DE"/>
    <w:rsid w:val="008765F0"/>
    <w:rsid w:val="008766D4"/>
    <w:rsid w:val="00876D17"/>
    <w:rsid w:val="008770DC"/>
    <w:rsid w:val="008776AE"/>
    <w:rsid w:val="00880168"/>
    <w:rsid w:val="00880324"/>
    <w:rsid w:val="00880A62"/>
    <w:rsid w:val="00880A6A"/>
    <w:rsid w:val="00880DE6"/>
    <w:rsid w:val="0088125D"/>
    <w:rsid w:val="0088154F"/>
    <w:rsid w:val="008815EF"/>
    <w:rsid w:val="00881728"/>
    <w:rsid w:val="00881767"/>
    <w:rsid w:val="00881956"/>
    <w:rsid w:val="00881B4D"/>
    <w:rsid w:val="00881BA6"/>
    <w:rsid w:val="008820A2"/>
    <w:rsid w:val="0088241B"/>
    <w:rsid w:val="00882454"/>
    <w:rsid w:val="00883325"/>
    <w:rsid w:val="00883747"/>
    <w:rsid w:val="00883764"/>
    <w:rsid w:val="00883877"/>
    <w:rsid w:val="008839FC"/>
    <w:rsid w:val="00883E96"/>
    <w:rsid w:val="00884458"/>
    <w:rsid w:val="00884742"/>
    <w:rsid w:val="0088502A"/>
    <w:rsid w:val="008855F0"/>
    <w:rsid w:val="00885948"/>
    <w:rsid w:val="00885CC9"/>
    <w:rsid w:val="00885F85"/>
    <w:rsid w:val="00886613"/>
    <w:rsid w:val="00886819"/>
    <w:rsid w:val="00886B67"/>
    <w:rsid w:val="0088704F"/>
    <w:rsid w:val="008905DA"/>
    <w:rsid w:val="008906EA"/>
    <w:rsid w:val="00890B5F"/>
    <w:rsid w:val="008910AA"/>
    <w:rsid w:val="0089119C"/>
    <w:rsid w:val="0089174F"/>
    <w:rsid w:val="00891F4D"/>
    <w:rsid w:val="008920C7"/>
    <w:rsid w:val="0089231C"/>
    <w:rsid w:val="008928C5"/>
    <w:rsid w:val="00892993"/>
    <w:rsid w:val="00893530"/>
    <w:rsid w:val="00894505"/>
    <w:rsid w:val="00894C64"/>
    <w:rsid w:val="00894EBC"/>
    <w:rsid w:val="008950A6"/>
    <w:rsid w:val="008951AC"/>
    <w:rsid w:val="00895201"/>
    <w:rsid w:val="00895371"/>
    <w:rsid w:val="00895998"/>
    <w:rsid w:val="008959EA"/>
    <w:rsid w:val="00895B93"/>
    <w:rsid w:val="008960FC"/>
    <w:rsid w:val="008961F0"/>
    <w:rsid w:val="008963AC"/>
    <w:rsid w:val="00896B77"/>
    <w:rsid w:val="00897736"/>
    <w:rsid w:val="00897796"/>
    <w:rsid w:val="00897EDB"/>
    <w:rsid w:val="008A02E0"/>
    <w:rsid w:val="008A0922"/>
    <w:rsid w:val="008A24FB"/>
    <w:rsid w:val="008A29DB"/>
    <w:rsid w:val="008A2A59"/>
    <w:rsid w:val="008A3998"/>
    <w:rsid w:val="008A39CE"/>
    <w:rsid w:val="008A4670"/>
    <w:rsid w:val="008A496B"/>
    <w:rsid w:val="008A49DA"/>
    <w:rsid w:val="008A4AEE"/>
    <w:rsid w:val="008A4BAF"/>
    <w:rsid w:val="008A4CD2"/>
    <w:rsid w:val="008A54A5"/>
    <w:rsid w:val="008A5568"/>
    <w:rsid w:val="008A6781"/>
    <w:rsid w:val="008A6D0C"/>
    <w:rsid w:val="008A71DA"/>
    <w:rsid w:val="008A7362"/>
    <w:rsid w:val="008A7416"/>
    <w:rsid w:val="008A7537"/>
    <w:rsid w:val="008A7A9C"/>
    <w:rsid w:val="008B03D6"/>
    <w:rsid w:val="008B040A"/>
    <w:rsid w:val="008B0769"/>
    <w:rsid w:val="008B129D"/>
    <w:rsid w:val="008B15A3"/>
    <w:rsid w:val="008B2438"/>
    <w:rsid w:val="008B2CA9"/>
    <w:rsid w:val="008B380E"/>
    <w:rsid w:val="008B3ADC"/>
    <w:rsid w:val="008B418B"/>
    <w:rsid w:val="008B44E4"/>
    <w:rsid w:val="008B4663"/>
    <w:rsid w:val="008B4848"/>
    <w:rsid w:val="008B51AB"/>
    <w:rsid w:val="008B5481"/>
    <w:rsid w:val="008B56F8"/>
    <w:rsid w:val="008B595E"/>
    <w:rsid w:val="008B5BE7"/>
    <w:rsid w:val="008B5DFB"/>
    <w:rsid w:val="008B5EE0"/>
    <w:rsid w:val="008B6C76"/>
    <w:rsid w:val="008B6CA1"/>
    <w:rsid w:val="008B6E7D"/>
    <w:rsid w:val="008B6EF7"/>
    <w:rsid w:val="008B7C85"/>
    <w:rsid w:val="008C07FC"/>
    <w:rsid w:val="008C08D2"/>
    <w:rsid w:val="008C0EC2"/>
    <w:rsid w:val="008C135A"/>
    <w:rsid w:val="008C153B"/>
    <w:rsid w:val="008C181A"/>
    <w:rsid w:val="008C1BA9"/>
    <w:rsid w:val="008C3365"/>
    <w:rsid w:val="008C35BC"/>
    <w:rsid w:val="008C3FBB"/>
    <w:rsid w:val="008C45E4"/>
    <w:rsid w:val="008C488C"/>
    <w:rsid w:val="008C4A60"/>
    <w:rsid w:val="008C4EF0"/>
    <w:rsid w:val="008C5258"/>
    <w:rsid w:val="008C5536"/>
    <w:rsid w:val="008C55CC"/>
    <w:rsid w:val="008C5A51"/>
    <w:rsid w:val="008C5A8F"/>
    <w:rsid w:val="008C5EEF"/>
    <w:rsid w:val="008C6018"/>
    <w:rsid w:val="008C6472"/>
    <w:rsid w:val="008C6486"/>
    <w:rsid w:val="008C64CB"/>
    <w:rsid w:val="008C6636"/>
    <w:rsid w:val="008C69CB"/>
    <w:rsid w:val="008C709D"/>
    <w:rsid w:val="008C72B5"/>
    <w:rsid w:val="008C7590"/>
    <w:rsid w:val="008C7A8C"/>
    <w:rsid w:val="008D00DB"/>
    <w:rsid w:val="008D0154"/>
    <w:rsid w:val="008D028F"/>
    <w:rsid w:val="008D02BB"/>
    <w:rsid w:val="008D031C"/>
    <w:rsid w:val="008D04DE"/>
    <w:rsid w:val="008D0616"/>
    <w:rsid w:val="008D0DFE"/>
    <w:rsid w:val="008D104D"/>
    <w:rsid w:val="008D187C"/>
    <w:rsid w:val="008D1F88"/>
    <w:rsid w:val="008D209E"/>
    <w:rsid w:val="008D2645"/>
    <w:rsid w:val="008D2815"/>
    <w:rsid w:val="008D29CF"/>
    <w:rsid w:val="008D2AAC"/>
    <w:rsid w:val="008D34FE"/>
    <w:rsid w:val="008D4989"/>
    <w:rsid w:val="008D4DD1"/>
    <w:rsid w:val="008D5638"/>
    <w:rsid w:val="008D5860"/>
    <w:rsid w:val="008D639D"/>
    <w:rsid w:val="008D695A"/>
    <w:rsid w:val="008D6B78"/>
    <w:rsid w:val="008D6EE0"/>
    <w:rsid w:val="008D787F"/>
    <w:rsid w:val="008D7A2E"/>
    <w:rsid w:val="008D7C24"/>
    <w:rsid w:val="008D7ED7"/>
    <w:rsid w:val="008E0311"/>
    <w:rsid w:val="008E0838"/>
    <w:rsid w:val="008E0B5C"/>
    <w:rsid w:val="008E0B79"/>
    <w:rsid w:val="008E0D1D"/>
    <w:rsid w:val="008E10B2"/>
    <w:rsid w:val="008E139C"/>
    <w:rsid w:val="008E14EB"/>
    <w:rsid w:val="008E1512"/>
    <w:rsid w:val="008E180A"/>
    <w:rsid w:val="008E1B0F"/>
    <w:rsid w:val="008E1D3B"/>
    <w:rsid w:val="008E2204"/>
    <w:rsid w:val="008E2F97"/>
    <w:rsid w:val="008E2FF0"/>
    <w:rsid w:val="008E38BA"/>
    <w:rsid w:val="008E3936"/>
    <w:rsid w:val="008E3A39"/>
    <w:rsid w:val="008E4265"/>
    <w:rsid w:val="008E53FE"/>
    <w:rsid w:val="008E55EB"/>
    <w:rsid w:val="008E5AF1"/>
    <w:rsid w:val="008E5B20"/>
    <w:rsid w:val="008E5C16"/>
    <w:rsid w:val="008E60FF"/>
    <w:rsid w:val="008E6882"/>
    <w:rsid w:val="008E69E5"/>
    <w:rsid w:val="008E6AA4"/>
    <w:rsid w:val="008E70E3"/>
    <w:rsid w:val="008E736A"/>
    <w:rsid w:val="008E75F1"/>
    <w:rsid w:val="008E7711"/>
    <w:rsid w:val="008F01D9"/>
    <w:rsid w:val="008F06A1"/>
    <w:rsid w:val="008F0B7C"/>
    <w:rsid w:val="008F10AA"/>
    <w:rsid w:val="008F158C"/>
    <w:rsid w:val="008F1625"/>
    <w:rsid w:val="008F1836"/>
    <w:rsid w:val="008F1FC5"/>
    <w:rsid w:val="008F2472"/>
    <w:rsid w:val="008F25BD"/>
    <w:rsid w:val="008F2648"/>
    <w:rsid w:val="008F2666"/>
    <w:rsid w:val="008F2774"/>
    <w:rsid w:val="008F2A44"/>
    <w:rsid w:val="008F2DCA"/>
    <w:rsid w:val="008F2F05"/>
    <w:rsid w:val="008F3667"/>
    <w:rsid w:val="008F3ABD"/>
    <w:rsid w:val="008F400A"/>
    <w:rsid w:val="008F46C0"/>
    <w:rsid w:val="008F4743"/>
    <w:rsid w:val="008F52D6"/>
    <w:rsid w:val="008F5352"/>
    <w:rsid w:val="008F5B7F"/>
    <w:rsid w:val="008F5DC1"/>
    <w:rsid w:val="008F66A4"/>
    <w:rsid w:val="008F6BC6"/>
    <w:rsid w:val="008F6F52"/>
    <w:rsid w:val="008F6FE1"/>
    <w:rsid w:val="008F7380"/>
    <w:rsid w:val="008F7F14"/>
    <w:rsid w:val="009001DA"/>
    <w:rsid w:val="00900489"/>
    <w:rsid w:val="00900D30"/>
    <w:rsid w:val="00900E94"/>
    <w:rsid w:val="00900EDC"/>
    <w:rsid w:val="009012AF"/>
    <w:rsid w:val="00902260"/>
    <w:rsid w:val="00902347"/>
    <w:rsid w:val="00903240"/>
    <w:rsid w:val="0090330D"/>
    <w:rsid w:val="00903748"/>
    <w:rsid w:val="00903D11"/>
    <w:rsid w:val="00904BD6"/>
    <w:rsid w:val="0090525F"/>
    <w:rsid w:val="00905377"/>
    <w:rsid w:val="009055E9"/>
    <w:rsid w:val="00905A3E"/>
    <w:rsid w:val="00905C94"/>
    <w:rsid w:val="00905E9A"/>
    <w:rsid w:val="009069FD"/>
    <w:rsid w:val="009071CD"/>
    <w:rsid w:val="00907374"/>
    <w:rsid w:val="0090743D"/>
    <w:rsid w:val="00907584"/>
    <w:rsid w:val="00907CAE"/>
    <w:rsid w:val="00907DC4"/>
    <w:rsid w:val="00907EB1"/>
    <w:rsid w:val="00910012"/>
    <w:rsid w:val="00910179"/>
    <w:rsid w:val="00910402"/>
    <w:rsid w:val="00910602"/>
    <w:rsid w:val="009106DE"/>
    <w:rsid w:val="00910A12"/>
    <w:rsid w:val="00910D1F"/>
    <w:rsid w:val="00910F74"/>
    <w:rsid w:val="00911557"/>
    <w:rsid w:val="00911768"/>
    <w:rsid w:val="00911DCC"/>
    <w:rsid w:val="00912464"/>
    <w:rsid w:val="009124DC"/>
    <w:rsid w:val="00912611"/>
    <w:rsid w:val="00912695"/>
    <w:rsid w:val="009129B5"/>
    <w:rsid w:val="00912D39"/>
    <w:rsid w:val="00912D9E"/>
    <w:rsid w:val="00912DFB"/>
    <w:rsid w:val="00913292"/>
    <w:rsid w:val="0091373B"/>
    <w:rsid w:val="00914B16"/>
    <w:rsid w:val="00914BEF"/>
    <w:rsid w:val="0091570C"/>
    <w:rsid w:val="00915D26"/>
    <w:rsid w:val="00915E57"/>
    <w:rsid w:val="00915F34"/>
    <w:rsid w:val="00916135"/>
    <w:rsid w:val="00916D7D"/>
    <w:rsid w:val="00916D9F"/>
    <w:rsid w:val="00916DCF"/>
    <w:rsid w:val="00916F49"/>
    <w:rsid w:val="00917054"/>
    <w:rsid w:val="00917127"/>
    <w:rsid w:val="00917925"/>
    <w:rsid w:val="00917E02"/>
    <w:rsid w:val="009208C7"/>
    <w:rsid w:val="00920925"/>
    <w:rsid w:val="00920BAB"/>
    <w:rsid w:val="00920DE1"/>
    <w:rsid w:val="00921095"/>
    <w:rsid w:val="00921165"/>
    <w:rsid w:val="00921197"/>
    <w:rsid w:val="00922715"/>
    <w:rsid w:val="0092279A"/>
    <w:rsid w:val="00922AE4"/>
    <w:rsid w:val="00922E11"/>
    <w:rsid w:val="00922E8F"/>
    <w:rsid w:val="0092345A"/>
    <w:rsid w:val="009235B7"/>
    <w:rsid w:val="00923804"/>
    <w:rsid w:val="00923A34"/>
    <w:rsid w:val="00923C0A"/>
    <w:rsid w:val="00923D33"/>
    <w:rsid w:val="00924221"/>
    <w:rsid w:val="0092468E"/>
    <w:rsid w:val="00924875"/>
    <w:rsid w:val="00924B7F"/>
    <w:rsid w:val="00924CC9"/>
    <w:rsid w:val="009255FD"/>
    <w:rsid w:val="009256B7"/>
    <w:rsid w:val="009259D9"/>
    <w:rsid w:val="00925BE0"/>
    <w:rsid w:val="00925C0B"/>
    <w:rsid w:val="009265FE"/>
    <w:rsid w:val="009266EA"/>
    <w:rsid w:val="00926C56"/>
    <w:rsid w:val="009275C0"/>
    <w:rsid w:val="00927790"/>
    <w:rsid w:val="00927ED8"/>
    <w:rsid w:val="00927FF7"/>
    <w:rsid w:val="0093003F"/>
    <w:rsid w:val="009302B7"/>
    <w:rsid w:val="00930603"/>
    <w:rsid w:val="00930670"/>
    <w:rsid w:val="009306CC"/>
    <w:rsid w:val="009309CA"/>
    <w:rsid w:val="00930CE9"/>
    <w:rsid w:val="009310EB"/>
    <w:rsid w:val="0093194B"/>
    <w:rsid w:val="00931983"/>
    <w:rsid w:val="00932AA5"/>
    <w:rsid w:val="00932B98"/>
    <w:rsid w:val="00932BD8"/>
    <w:rsid w:val="00933A33"/>
    <w:rsid w:val="009344C1"/>
    <w:rsid w:val="00934B48"/>
    <w:rsid w:val="00934B56"/>
    <w:rsid w:val="00934BDA"/>
    <w:rsid w:val="0093535A"/>
    <w:rsid w:val="00935884"/>
    <w:rsid w:val="009358B1"/>
    <w:rsid w:val="009358D6"/>
    <w:rsid w:val="00935FF2"/>
    <w:rsid w:val="0093602D"/>
    <w:rsid w:val="0093609C"/>
    <w:rsid w:val="0093612D"/>
    <w:rsid w:val="00936286"/>
    <w:rsid w:val="00936326"/>
    <w:rsid w:val="00936A6B"/>
    <w:rsid w:val="009376F0"/>
    <w:rsid w:val="009379D3"/>
    <w:rsid w:val="0094007A"/>
    <w:rsid w:val="0094023E"/>
    <w:rsid w:val="00940715"/>
    <w:rsid w:val="009409DC"/>
    <w:rsid w:val="0094311D"/>
    <w:rsid w:val="00943257"/>
    <w:rsid w:val="00943AB6"/>
    <w:rsid w:val="00943CAD"/>
    <w:rsid w:val="00945A17"/>
    <w:rsid w:val="00946599"/>
    <w:rsid w:val="009466AC"/>
    <w:rsid w:val="00946878"/>
    <w:rsid w:val="0094702E"/>
    <w:rsid w:val="00947172"/>
    <w:rsid w:val="009474C1"/>
    <w:rsid w:val="00947C47"/>
    <w:rsid w:val="00947CB5"/>
    <w:rsid w:val="00947D8E"/>
    <w:rsid w:val="00947E52"/>
    <w:rsid w:val="00950525"/>
    <w:rsid w:val="00950532"/>
    <w:rsid w:val="00950CA5"/>
    <w:rsid w:val="00950F53"/>
    <w:rsid w:val="009511FA"/>
    <w:rsid w:val="00951362"/>
    <w:rsid w:val="009513D1"/>
    <w:rsid w:val="0095171C"/>
    <w:rsid w:val="0095183C"/>
    <w:rsid w:val="00951F4B"/>
    <w:rsid w:val="009522BC"/>
    <w:rsid w:val="009523C0"/>
    <w:rsid w:val="00952624"/>
    <w:rsid w:val="009526D1"/>
    <w:rsid w:val="009531D2"/>
    <w:rsid w:val="009531EC"/>
    <w:rsid w:val="0095324F"/>
    <w:rsid w:val="00953315"/>
    <w:rsid w:val="00953C88"/>
    <w:rsid w:val="009542BE"/>
    <w:rsid w:val="0095480E"/>
    <w:rsid w:val="00954EAE"/>
    <w:rsid w:val="00954F9B"/>
    <w:rsid w:val="00955472"/>
    <w:rsid w:val="009555F5"/>
    <w:rsid w:val="00955A72"/>
    <w:rsid w:val="0095618D"/>
    <w:rsid w:val="009564AB"/>
    <w:rsid w:val="00956638"/>
    <w:rsid w:val="0095668D"/>
    <w:rsid w:val="00957369"/>
    <w:rsid w:val="0095767D"/>
    <w:rsid w:val="009577E8"/>
    <w:rsid w:val="00957C8B"/>
    <w:rsid w:val="00957DD3"/>
    <w:rsid w:val="009600AF"/>
    <w:rsid w:val="00961401"/>
    <w:rsid w:val="00961642"/>
    <w:rsid w:val="009619CE"/>
    <w:rsid w:val="00961AB7"/>
    <w:rsid w:val="00961E9E"/>
    <w:rsid w:val="00962358"/>
    <w:rsid w:val="009625FE"/>
    <w:rsid w:val="00962906"/>
    <w:rsid w:val="00962F0A"/>
    <w:rsid w:val="009631F3"/>
    <w:rsid w:val="00963303"/>
    <w:rsid w:val="00963395"/>
    <w:rsid w:val="0096370C"/>
    <w:rsid w:val="00963C9E"/>
    <w:rsid w:val="00964DEB"/>
    <w:rsid w:val="0096545A"/>
    <w:rsid w:val="0096558C"/>
    <w:rsid w:val="00965F96"/>
    <w:rsid w:val="00966084"/>
    <w:rsid w:val="00966756"/>
    <w:rsid w:val="00966794"/>
    <w:rsid w:val="00966DAD"/>
    <w:rsid w:val="00966EF9"/>
    <w:rsid w:val="00967CD1"/>
    <w:rsid w:val="00970243"/>
    <w:rsid w:val="0097028A"/>
    <w:rsid w:val="00970662"/>
    <w:rsid w:val="009708B6"/>
    <w:rsid w:val="00970FD4"/>
    <w:rsid w:val="00971FB0"/>
    <w:rsid w:val="00971FFF"/>
    <w:rsid w:val="00972514"/>
    <w:rsid w:val="00972984"/>
    <w:rsid w:val="00972FBA"/>
    <w:rsid w:val="00972FD9"/>
    <w:rsid w:val="009731BB"/>
    <w:rsid w:val="00973582"/>
    <w:rsid w:val="009737B2"/>
    <w:rsid w:val="009742C6"/>
    <w:rsid w:val="009742DE"/>
    <w:rsid w:val="00974857"/>
    <w:rsid w:val="00974A55"/>
    <w:rsid w:val="00975496"/>
    <w:rsid w:val="00975641"/>
    <w:rsid w:val="009757B3"/>
    <w:rsid w:val="00976152"/>
    <w:rsid w:val="00976701"/>
    <w:rsid w:val="00977270"/>
    <w:rsid w:val="009776FB"/>
    <w:rsid w:val="009777DA"/>
    <w:rsid w:val="00977DB0"/>
    <w:rsid w:val="00977E97"/>
    <w:rsid w:val="009808F8"/>
    <w:rsid w:val="0098150D"/>
    <w:rsid w:val="00981578"/>
    <w:rsid w:val="00981BA5"/>
    <w:rsid w:val="00982310"/>
    <w:rsid w:val="0098262A"/>
    <w:rsid w:val="0098263D"/>
    <w:rsid w:val="009826C1"/>
    <w:rsid w:val="009836A8"/>
    <w:rsid w:val="00983A42"/>
    <w:rsid w:val="00984B47"/>
    <w:rsid w:val="009850E9"/>
    <w:rsid w:val="00985157"/>
    <w:rsid w:val="00985814"/>
    <w:rsid w:val="0098661D"/>
    <w:rsid w:val="009868D3"/>
    <w:rsid w:val="00986B21"/>
    <w:rsid w:val="00986BB9"/>
    <w:rsid w:val="00987227"/>
    <w:rsid w:val="009875D6"/>
    <w:rsid w:val="009877A3"/>
    <w:rsid w:val="00987C99"/>
    <w:rsid w:val="00990508"/>
    <w:rsid w:val="00990FBE"/>
    <w:rsid w:val="0099170B"/>
    <w:rsid w:val="00991997"/>
    <w:rsid w:val="00991BE0"/>
    <w:rsid w:val="0099221B"/>
    <w:rsid w:val="00992440"/>
    <w:rsid w:val="00992A1F"/>
    <w:rsid w:val="00992CA7"/>
    <w:rsid w:val="00992DB4"/>
    <w:rsid w:val="0099303A"/>
    <w:rsid w:val="009930E9"/>
    <w:rsid w:val="00993387"/>
    <w:rsid w:val="0099372C"/>
    <w:rsid w:val="00993AA3"/>
    <w:rsid w:val="0099406B"/>
    <w:rsid w:val="009942DF"/>
    <w:rsid w:val="009946E0"/>
    <w:rsid w:val="00994995"/>
    <w:rsid w:val="00994997"/>
    <w:rsid w:val="009949C0"/>
    <w:rsid w:val="00994DEF"/>
    <w:rsid w:val="00994F4C"/>
    <w:rsid w:val="00995CD7"/>
    <w:rsid w:val="00995E13"/>
    <w:rsid w:val="00995FFF"/>
    <w:rsid w:val="0099629E"/>
    <w:rsid w:val="00997500"/>
    <w:rsid w:val="009A03C9"/>
    <w:rsid w:val="009A0405"/>
    <w:rsid w:val="009A06CB"/>
    <w:rsid w:val="009A0926"/>
    <w:rsid w:val="009A0A60"/>
    <w:rsid w:val="009A1601"/>
    <w:rsid w:val="009A1E79"/>
    <w:rsid w:val="009A2632"/>
    <w:rsid w:val="009A283E"/>
    <w:rsid w:val="009A29D2"/>
    <w:rsid w:val="009A2A2D"/>
    <w:rsid w:val="009A2E6F"/>
    <w:rsid w:val="009A3462"/>
    <w:rsid w:val="009A3AA7"/>
    <w:rsid w:val="009A3FEC"/>
    <w:rsid w:val="009A43EF"/>
    <w:rsid w:val="009A4631"/>
    <w:rsid w:val="009A4A34"/>
    <w:rsid w:val="009A4A56"/>
    <w:rsid w:val="009A4AB4"/>
    <w:rsid w:val="009A4C8B"/>
    <w:rsid w:val="009A56EC"/>
    <w:rsid w:val="009A5E17"/>
    <w:rsid w:val="009A5FAE"/>
    <w:rsid w:val="009A6F74"/>
    <w:rsid w:val="009A6FC8"/>
    <w:rsid w:val="009A7E4E"/>
    <w:rsid w:val="009A7ED5"/>
    <w:rsid w:val="009B00EA"/>
    <w:rsid w:val="009B04A8"/>
    <w:rsid w:val="009B05C5"/>
    <w:rsid w:val="009B071B"/>
    <w:rsid w:val="009B10AD"/>
    <w:rsid w:val="009B10D5"/>
    <w:rsid w:val="009B11D1"/>
    <w:rsid w:val="009B1D19"/>
    <w:rsid w:val="009B1E9E"/>
    <w:rsid w:val="009B1ED8"/>
    <w:rsid w:val="009B2118"/>
    <w:rsid w:val="009B27C4"/>
    <w:rsid w:val="009B27EE"/>
    <w:rsid w:val="009B2885"/>
    <w:rsid w:val="009B2E1F"/>
    <w:rsid w:val="009B30BD"/>
    <w:rsid w:val="009B329B"/>
    <w:rsid w:val="009B350D"/>
    <w:rsid w:val="009B440D"/>
    <w:rsid w:val="009B4BA8"/>
    <w:rsid w:val="009B4D62"/>
    <w:rsid w:val="009B5875"/>
    <w:rsid w:val="009B590F"/>
    <w:rsid w:val="009B5B19"/>
    <w:rsid w:val="009B6030"/>
    <w:rsid w:val="009B6371"/>
    <w:rsid w:val="009B6F4C"/>
    <w:rsid w:val="009B760D"/>
    <w:rsid w:val="009B7913"/>
    <w:rsid w:val="009B7D7F"/>
    <w:rsid w:val="009BC9E5"/>
    <w:rsid w:val="009C0275"/>
    <w:rsid w:val="009C0412"/>
    <w:rsid w:val="009C108A"/>
    <w:rsid w:val="009C10C2"/>
    <w:rsid w:val="009C223D"/>
    <w:rsid w:val="009C22D1"/>
    <w:rsid w:val="009C2452"/>
    <w:rsid w:val="009C2D03"/>
    <w:rsid w:val="009C2E5C"/>
    <w:rsid w:val="009C3087"/>
    <w:rsid w:val="009C3DA8"/>
    <w:rsid w:val="009C3E82"/>
    <w:rsid w:val="009C4497"/>
    <w:rsid w:val="009C4540"/>
    <w:rsid w:val="009C46AA"/>
    <w:rsid w:val="009C480A"/>
    <w:rsid w:val="009C4A77"/>
    <w:rsid w:val="009C531C"/>
    <w:rsid w:val="009C539F"/>
    <w:rsid w:val="009C545C"/>
    <w:rsid w:val="009C5B9E"/>
    <w:rsid w:val="009C61D0"/>
    <w:rsid w:val="009C631A"/>
    <w:rsid w:val="009C658C"/>
    <w:rsid w:val="009C670E"/>
    <w:rsid w:val="009C6FFD"/>
    <w:rsid w:val="009C716B"/>
    <w:rsid w:val="009C7427"/>
    <w:rsid w:val="009C7F02"/>
    <w:rsid w:val="009D0A3A"/>
    <w:rsid w:val="009D19C8"/>
    <w:rsid w:val="009D1C15"/>
    <w:rsid w:val="009D1E3A"/>
    <w:rsid w:val="009D1E7C"/>
    <w:rsid w:val="009D1FE3"/>
    <w:rsid w:val="009D276F"/>
    <w:rsid w:val="009D2C10"/>
    <w:rsid w:val="009D2DD7"/>
    <w:rsid w:val="009D2E0B"/>
    <w:rsid w:val="009D3812"/>
    <w:rsid w:val="009D3BC5"/>
    <w:rsid w:val="009D3D29"/>
    <w:rsid w:val="009D3FFA"/>
    <w:rsid w:val="009D41C4"/>
    <w:rsid w:val="009D4FA9"/>
    <w:rsid w:val="009D51A4"/>
    <w:rsid w:val="009D532E"/>
    <w:rsid w:val="009D5516"/>
    <w:rsid w:val="009D5A57"/>
    <w:rsid w:val="009D6EE8"/>
    <w:rsid w:val="009D7243"/>
    <w:rsid w:val="009D7CEC"/>
    <w:rsid w:val="009D7FFE"/>
    <w:rsid w:val="009E01FD"/>
    <w:rsid w:val="009E05AD"/>
    <w:rsid w:val="009E0608"/>
    <w:rsid w:val="009E0B88"/>
    <w:rsid w:val="009E16CD"/>
    <w:rsid w:val="009E170F"/>
    <w:rsid w:val="009E1E17"/>
    <w:rsid w:val="009E2BE1"/>
    <w:rsid w:val="009E2F44"/>
    <w:rsid w:val="009E3383"/>
    <w:rsid w:val="009E3504"/>
    <w:rsid w:val="009E38D4"/>
    <w:rsid w:val="009E3B39"/>
    <w:rsid w:val="009E429D"/>
    <w:rsid w:val="009E493F"/>
    <w:rsid w:val="009E4BDD"/>
    <w:rsid w:val="009E4EDA"/>
    <w:rsid w:val="009E57FF"/>
    <w:rsid w:val="009E68DD"/>
    <w:rsid w:val="009E6CD8"/>
    <w:rsid w:val="009E72E1"/>
    <w:rsid w:val="009E78EA"/>
    <w:rsid w:val="009E798E"/>
    <w:rsid w:val="009E7C12"/>
    <w:rsid w:val="009E7CDD"/>
    <w:rsid w:val="009E7CF2"/>
    <w:rsid w:val="009E7D3F"/>
    <w:rsid w:val="009E7EFA"/>
    <w:rsid w:val="009E7FFD"/>
    <w:rsid w:val="009F081C"/>
    <w:rsid w:val="009F14F9"/>
    <w:rsid w:val="009F1622"/>
    <w:rsid w:val="009F1A44"/>
    <w:rsid w:val="009F24AE"/>
    <w:rsid w:val="009F32BA"/>
    <w:rsid w:val="009F3344"/>
    <w:rsid w:val="009F39B9"/>
    <w:rsid w:val="009F450A"/>
    <w:rsid w:val="009F4726"/>
    <w:rsid w:val="009F472E"/>
    <w:rsid w:val="009F562F"/>
    <w:rsid w:val="009F608F"/>
    <w:rsid w:val="009F6FF6"/>
    <w:rsid w:val="009F7575"/>
    <w:rsid w:val="009F7990"/>
    <w:rsid w:val="009F7AB3"/>
    <w:rsid w:val="009F7AC2"/>
    <w:rsid w:val="009F7BA7"/>
    <w:rsid w:val="009F7C5F"/>
    <w:rsid w:val="00A00AF8"/>
    <w:rsid w:val="00A00B15"/>
    <w:rsid w:val="00A00B54"/>
    <w:rsid w:val="00A00D75"/>
    <w:rsid w:val="00A011C8"/>
    <w:rsid w:val="00A01714"/>
    <w:rsid w:val="00A01E28"/>
    <w:rsid w:val="00A02115"/>
    <w:rsid w:val="00A025D9"/>
    <w:rsid w:val="00A02670"/>
    <w:rsid w:val="00A02B62"/>
    <w:rsid w:val="00A030F4"/>
    <w:rsid w:val="00A0311A"/>
    <w:rsid w:val="00A0318E"/>
    <w:rsid w:val="00A04210"/>
    <w:rsid w:val="00A04640"/>
    <w:rsid w:val="00A050D8"/>
    <w:rsid w:val="00A051AC"/>
    <w:rsid w:val="00A057CC"/>
    <w:rsid w:val="00A0594A"/>
    <w:rsid w:val="00A05DAB"/>
    <w:rsid w:val="00A05F47"/>
    <w:rsid w:val="00A06643"/>
    <w:rsid w:val="00A067B6"/>
    <w:rsid w:val="00A0691E"/>
    <w:rsid w:val="00A06BBF"/>
    <w:rsid w:val="00A06F6A"/>
    <w:rsid w:val="00A07289"/>
    <w:rsid w:val="00A0793E"/>
    <w:rsid w:val="00A07A3F"/>
    <w:rsid w:val="00A07C91"/>
    <w:rsid w:val="00A07F3F"/>
    <w:rsid w:val="00A10063"/>
    <w:rsid w:val="00A101AF"/>
    <w:rsid w:val="00A106C7"/>
    <w:rsid w:val="00A107EF"/>
    <w:rsid w:val="00A108E9"/>
    <w:rsid w:val="00A10FED"/>
    <w:rsid w:val="00A11228"/>
    <w:rsid w:val="00A113D3"/>
    <w:rsid w:val="00A114BE"/>
    <w:rsid w:val="00A115EC"/>
    <w:rsid w:val="00A11D34"/>
    <w:rsid w:val="00A12660"/>
    <w:rsid w:val="00A12870"/>
    <w:rsid w:val="00A128F5"/>
    <w:rsid w:val="00A130E0"/>
    <w:rsid w:val="00A1389D"/>
    <w:rsid w:val="00A1397D"/>
    <w:rsid w:val="00A13C11"/>
    <w:rsid w:val="00A14008"/>
    <w:rsid w:val="00A1455E"/>
    <w:rsid w:val="00A14751"/>
    <w:rsid w:val="00A15035"/>
    <w:rsid w:val="00A15260"/>
    <w:rsid w:val="00A15547"/>
    <w:rsid w:val="00A15697"/>
    <w:rsid w:val="00A15F18"/>
    <w:rsid w:val="00A16AF2"/>
    <w:rsid w:val="00A16CBA"/>
    <w:rsid w:val="00A17172"/>
    <w:rsid w:val="00A173F7"/>
    <w:rsid w:val="00A174E1"/>
    <w:rsid w:val="00A17C33"/>
    <w:rsid w:val="00A20322"/>
    <w:rsid w:val="00A209E4"/>
    <w:rsid w:val="00A2156C"/>
    <w:rsid w:val="00A21F18"/>
    <w:rsid w:val="00A2255F"/>
    <w:rsid w:val="00A22693"/>
    <w:rsid w:val="00A22F2E"/>
    <w:rsid w:val="00A2318A"/>
    <w:rsid w:val="00A238FD"/>
    <w:rsid w:val="00A23C1C"/>
    <w:rsid w:val="00A24190"/>
    <w:rsid w:val="00A24538"/>
    <w:rsid w:val="00A257EC"/>
    <w:rsid w:val="00A25C05"/>
    <w:rsid w:val="00A2663F"/>
    <w:rsid w:val="00A26962"/>
    <w:rsid w:val="00A274C0"/>
    <w:rsid w:val="00A2754E"/>
    <w:rsid w:val="00A27641"/>
    <w:rsid w:val="00A27C06"/>
    <w:rsid w:val="00A27CFD"/>
    <w:rsid w:val="00A30416"/>
    <w:rsid w:val="00A30BEB"/>
    <w:rsid w:val="00A30C04"/>
    <w:rsid w:val="00A31CEC"/>
    <w:rsid w:val="00A321F7"/>
    <w:rsid w:val="00A32D76"/>
    <w:rsid w:val="00A33230"/>
    <w:rsid w:val="00A3340E"/>
    <w:rsid w:val="00A336CA"/>
    <w:rsid w:val="00A33B43"/>
    <w:rsid w:val="00A33F3B"/>
    <w:rsid w:val="00A34178"/>
    <w:rsid w:val="00A34379"/>
    <w:rsid w:val="00A34BF1"/>
    <w:rsid w:val="00A35152"/>
    <w:rsid w:val="00A35668"/>
    <w:rsid w:val="00A35D61"/>
    <w:rsid w:val="00A35F77"/>
    <w:rsid w:val="00A36062"/>
    <w:rsid w:val="00A364E9"/>
    <w:rsid w:val="00A36923"/>
    <w:rsid w:val="00A36C95"/>
    <w:rsid w:val="00A36FE3"/>
    <w:rsid w:val="00A37439"/>
    <w:rsid w:val="00A4006C"/>
    <w:rsid w:val="00A40237"/>
    <w:rsid w:val="00A4064A"/>
    <w:rsid w:val="00A415D2"/>
    <w:rsid w:val="00A41608"/>
    <w:rsid w:val="00A43170"/>
    <w:rsid w:val="00A43C02"/>
    <w:rsid w:val="00A43E6F"/>
    <w:rsid w:val="00A4403B"/>
    <w:rsid w:val="00A44613"/>
    <w:rsid w:val="00A44771"/>
    <w:rsid w:val="00A44F72"/>
    <w:rsid w:val="00A4598B"/>
    <w:rsid w:val="00A45B42"/>
    <w:rsid w:val="00A45BD8"/>
    <w:rsid w:val="00A45BEF"/>
    <w:rsid w:val="00A45E1B"/>
    <w:rsid w:val="00A4632E"/>
    <w:rsid w:val="00A4679B"/>
    <w:rsid w:val="00A46ECA"/>
    <w:rsid w:val="00A472F2"/>
    <w:rsid w:val="00A473BD"/>
    <w:rsid w:val="00A47709"/>
    <w:rsid w:val="00A47EF7"/>
    <w:rsid w:val="00A502DA"/>
    <w:rsid w:val="00A50A88"/>
    <w:rsid w:val="00A50FDE"/>
    <w:rsid w:val="00A5152D"/>
    <w:rsid w:val="00A51831"/>
    <w:rsid w:val="00A51A45"/>
    <w:rsid w:val="00A51ABA"/>
    <w:rsid w:val="00A51BFF"/>
    <w:rsid w:val="00A51EAE"/>
    <w:rsid w:val="00A521F3"/>
    <w:rsid w:val="00A52B87"/>
    <w:rsid w:val="00A52FC3"/>
    <w:rsid w:val="00A53256"/>
    <w:rsid w:val="00A53B70"/>
    <w:rsid w:val="00A546C4"/>
    <w:rsid w:val="00A54B11"/>
    <w:rsid w:val="00A54DA0"/>
    <w:rsid w:val="00A552ED"/>
    <w:rsid w:val="00A554CF"/>
    <w:rsid w:val="00A558E1"/>
    <w:rsid w:val="00A56009"/>
    <w:rsid w:val="00A56070"/>
    <w:rsid w:val="00A5618B"/>
    <w:rsid w:val="00A569AB"/>
    <w:rsid w:val="00A56C49"/>
    <w:rsid w:val="00A57994"/>
    <w:rsid w:val="00A57C90"/>
    <w:rsid w:val="00A57D07"/>
    <w:rsid w:val="00A57E20"/>
    <w:rsid w:val="00A600DE"/>
    <w:rsid w:val="00A6037B"/>
    <w:rsid w:val="00A604C5"/>
    <w:rsid w:val="00A60B12"/>
    <w:rsid w:val="00A60B6A"/>
    <w:rsid w:val="00A61E5A"/>
    <w:rsid w:val="00A61F40"/>
    <w:rsid w:val="00A62384"/>
    <w:rsid w:val="00A62F1D"/>
    <w:rsid w:val="00A63917"/>
    <w:rsid w:val="00A643B2"/>
    <w:rsid w:val="00A6471B"/>
    <w:rsid w:val="00A648B5"/>
    <w:rsid w:val="00A64ADC"/>
    <w:rsid w:val="00A65063"/>
    <w:rsid w:val="00A6518B"/>
    <w:rsid w:val="00A65674"/>
    <w:rsid w:val="00A65A8E"/>
    <w:rsid w:val="00A66171"/>
    <w:rsid w:val="00A6698A"/>
    <w:rsid w:val="00A66A97"/>
    <w:rsid w:val="00A67606"/>
    <w:rsid w:val="00A67FB3"/>
    <w:rsid w:val="00A70687"/>
    <w:rsid w:val="00A70E80"/>
    <w:rsid w:val="00A70EB6"/>
    <w:rsid w:val="00A71388"/>
    <w:rsid w:val="00A7142F"/>
    <w:rsid w:val="00A716FB"/>
    <w:rsid w:val="00A7199D"/>
    <w:rsid w:val="00A71BA5"/>
    <w:rsid w:val="00A71D6F"/>
    <w:rsid w:val="00A71EAA"/>
    <w:rsid w:val="00A71F35"/>
    <w:rsid w:val="00A72146"/>
    <w:rsid w:val="00A721DD"/>
    <w:rsid w:val="00A72C5A"/>
    <w:rsid w:val="00A72DFB"/>
    <w:rsid w:val="00A72EF0"/>
    <w:rsid w:val="00A72F2A"/>
    <w:rsid w:val="00A731B6"/>
    <w:rsid w:val="00A7335D"/>
    <w:rsid w:val="00A73442"/>
    <w:rsid w:val="00A735A4"/>
    <w:rsid w:val="00A73656"/>
    <w:rsid w:val="00A73801"/>
    <w:rsid w:val="00A73D69"/>
    <w:rsid w:val="00A73DB2"/>
    <w:rsid w:val="00A73E0B"/>
    <w:rsid w:val="00A747E3"/>
    <w:rsid w:val="00A74E41"/>
    <w:rsid w:val="00A752C1"/>
    <w:rsid w:val="00A754F7"/>
    <w:rsid w:val="00A75CC4"/>
    <w:rsid w:val="00A76083"/>
    <w:rsid w:val="00A76111"/>
    <w:rsid w:val="00A76422"/>
    <w:rsid w:val="00A764DE"/>
    <w:rsid w:val="00A77280"/>
    <w:rsid w:val="00A77887"/>
    <w:rsid w:val="00A77CE4"/>
    <w:rsid w:val="00A77D94"/>
    <w:rsid w:val="00A802B2"/>
    <w:rsid w:val="00A803BA"/>
    <w:rsid w:val="00A80409"/>
    <w:rsid w:val="00A80C18"/>
    <w:rsid w:val="00A8109D"/>
    <w:rsid w:val="00A81220"/>
    <w:rsid w:val="00A812C3"/>
    <w:rsid w:val="00A82240"/>
    <w:rsid w:val="00A82813"/>
    <w:rsid w:val="00A8289B"/>
    <w:rsid w:val="00A82C4E"/>
    <w:rsid w:val="00A82EBA"/>
    <w:rsid w:val="00A82F4E"/>
    <w:rsid w:val="00A83168"/>
    <w:rsid w:val="00A8347C"/>
    <w:rsid w:val="00A83A80"/>
    <w:rsid w:val="00A83DAD"/>
    <w:rsid w:val="00A84855"/>
    <w:rsid w:val="00A84DFD"/>
    <w:rsid w:val="00A85051"/>
    <w:rsid w:val="00A85426"/>
    <w:rsid w:val="00A85542"/>
    <w:rsid w:val="00A85783"/>
    <w:rsid w:val="00A86019"/>
    <w:rsid w:val="00A865DD"/>
    <w:rsid w:val="00A86862"/>
    <w:rsid w:val="00A86A9D"/>
    <w:rsid w:val="00A871F1"/>
    <w:rsid w:val="00A877DE"/>
    <w:rsid w:val="00A878F2"/>
    <w:rsid w:val="00A87BEE"/>
    <w:rsid w:val="00A87FFB"/>
    <w:rsid w:val="00A90BA2"/>
    <w:rsid w:val="00A90D75"/>
    <w:rsid w:val="00A90EF7"/>
    <w:rsid w:val="00A9264B"/>
    <w:rsid w:val="00A93055"/>
    <w:rsid w:val="00A932E5"/>
    <w:rsid w:val="00A933AC"/>
    <w:rsid w:val="00A93577"/>
    <w:rsid w:val="00A93581"/>
    <w:rsid w:val="00A93D46"/>
    <w:rsid w:val="00A9408E"/>
    <w:rsid w:val="00A94194"/>
    <w:rsid w:val="00A944AE"/>
    <w:rsid w:val="00A945C6"/>
    <w:rsid w:val="00A94705"/>
    <w:rsid w:val="00A94873"/>
    <w:rsid w:val="00A94A5A"/>
    <w:rsid w:val="00A95403"/>
    <w:rsid w:val="00A95471"/>
    <w:rsid w:val="00A955A3"/>
    <w:rsid w:val="00A95F17"/>
    <w:rsid w:val="00A96B04"/>
    <w:rsid w:val="00A97520"/>
    <w:rsid w:val="00A97931"/>
    <w:rsid w:val="00A97F57"/>
    <w:rsid w:val="00AA0430"/>
    <w:rsid w:val="00AA06A2"/>
    <w:rsid w:val="00AA0923"/>
    <w:rsid w:val="00AA1046"/>
    <w:rsid w:val="00AA1312"/>
    <w:rsid w:val="00AA14AE"/>
    <w:rsid w:val="00AA192F"/>
    <w:rsid w:val="00AA1C10"/>
    <w:rsid w:val="00AA1F35"/>
    <w:rsid w:val="00AA2188"/>
    <w:rsid w:val="00AA24BE"/>
    <w:rsid w:val="00AA2607"/>
    <w:rsid w:val="00AA28F3"/>
    <w:rsid w:val="00AA2E40"/>
    <w:rsid w:val="00AA2EBC"/>
    <w:rsid w:val="00AA32A8"/>
    <w:rsid w:val="00AA32E4"/>
    <w:rsid w:val="00AA3353"/>
    <w:rsid w:val="00AA39C6"/>
    <w:rsid w:val="00AA3BDB"/>
    <w:rsid w:val="00AA4064"/>
    <w:rsid w:val="00AA4DA4"/>
    <w:rsid w:val="00AA65C7"/>
    <w:rsid w:val="00AA65FD"/>
    <w:rsid w:val="00AA6635"/>
    <w:rsid w:val="00AA6A81"/>
    <w:rsid w:val="00AA6FEA"/>
    <w:rsid w:val="00AA7889"/>
    <w:rsid w:val="00AA79E7"/>
    <w:rsid w:val="00AA7F0C"/>
    <w:rsid w:val="00AB0715"/>
    <w:rsid w:val="00AB07C7"/>
    <w:rsid w:val="00AB11BB"/>
    <w:rsid w:val="00AB12CA"/>
    <w:rsid w:val="00AB17F1"/>
    <w:rsid w:val="00AB1CB2"/>
    <w:rsid w:val="00AB1EAD"/>
    <w:rsid w:val="00AB24AC"/>
    <w:rsid w:val="00AB2C86"/>
    <w:rsid w:val="00AB2C8C"/>
    <w:rsid w:val="00AB2E9D"/>
    <w:rsid w:val="00AB34FE"/>
    <w:rsid w:val="00AB352B"/>
    <w:rsid w:val="00AB38F8"/>
    <w:rsid w:val="00AB3B26"/>
    <w:rsid w:val="00AB3DF9"/>
    <w:rsid w:val="00AB4A2D"/>
    <w:rsid w:val="00AB4F45"/>
    <w:rsid w:val="00AB5134"/>
    <w:rsid w:val="00AB5384"/>
    <w:rsid w:val="00AB542B"/>
    <w:rsid w:val="00AB5ADE"/>
    <w:rsid w:val="00AB637A"/>
    <w:rsid w:val="00AB688B"/>
    <w:rsid w:val="00AB6F9F"/>
    <w:rsid w:val="00AB71C7"/>
    <w:rsid w:val="00AB7CC6"/>
    <w:rsid w:val="00AB7FAE"/>
    <w:rsid w:val="00AC048D"/>
    <w:rsid w:val="00AC0662"/>
    <w:rsid w:val="00AC07B9"/>
    <w:rsid w:val="00AC178A"/>
    <w:rsid w:val="00AC1A3F"/>
    <w:rsid w:val="00AC2C3A"/>
    <w:rsid w:val="00AC2CB7"/>
    <w:rsid w:val="00AC304A"/>
    <w:rsid w:val="00AC327A"/>
    <w:rsid w:val="00AC336D"/>
    <w:rsid w:val="00AC34B6"/>
    <w:rsid w:val="00AC3630"/>
    <w:rsid w:val="00AC3E00"/>
    <w:rsid w:val="00AC3ED2"/>
    <w:rsid w:val="00AC3F1E"/>
    <w:rsid w:val="00AC42A1"/>
    <w:rsid w:val="00AC4391"/>
    <w:rsid w:val="00AC47F5"/>
    <w:rsid w:val="00AC47FF"/>
    <w:rsid w:val="00AC4BB4"/>
    <w:rsid w:val="00AC5194"/>
    <w:rsid w:val="00AC5361"/>
    <w:rsid w:val="00AC5C3F"/>
    <w:rsid w:val="00AC60F7"/>
    <w:rsid w:val="00AC63C6"/>
    <w:rsid w:val="00AC6985"/>
    <w:rsid w:val="00AC7D32"/>
    <w:rsid w:val="00AD0166"/>
    <w:rsid w:val="00AD036E"/>
    <w:rsid w:val="00AD0915"/>
    <w:rsid w:val="00AD144C"/>
    <w:rsid w:val="00AD1EB3"/>
    <w:rsid w:val="00AD2032"/>
    <w:rsid w:val="00AD255D"/>
    <w:rsid w:val="00AD2613"/>
    <w:rsid w:val="00AD2DB5"/>
    <w:rsid w:val="00AD2E05"/>
    <w:rsid w:val="00AD2E18"/>
    <w:rsid w:val="00AD2EEB"/>
    <w:rsid w:val="00AD35EF"/>
    <w:rsid w:val="00AD36AE"/>
    <w:rsid w:val="00AD3D73"/>
    <w:rsid w:val="00AD3F5E"/>
    <w:rsid w:val="00AD426D"/>
    <w:rsid w:val="00AD492C"/>
    <w:rsid w:val="00AD4AB0"/>
    <w:rsid w:val="00AD4C69"/>
    <w:rsid w:val="00AD50BD"/>
    <w:rsid w:val="00AD50D0"/>
    <w:rsid w:val="00AD51C0"/>
    <w:rsid w:val="00AD54B9"/>
    <w:rsid w:val="00AD574E"/>
    <w:rsid w:val="00AD59C2"/>
    <w:rsid w:val="00AD5D01"/>
    <w:rsid w:val="00AD5FD9"/>
    <w:rsid w:val="00AD6039"/>
    <w:rsid w:val="00AD64D4"/>
    <w:rsid w:val="00AD68E5"/>
    <w:rsid w:val="00AD72B9"/>
    <w:rsid w:val="00AD7CF9"/>
    <w:rsid w:val="00AE00D2"/>
    <w:rsid w:val="00AE0202"/>
    <w:rsid w:val="00AE03F5"/>
    <w:rsid w:val="00AE08DE"/>
    <w:rsid w:val="00AE11B2"/>
    <w:rsid w:val="00AE131D"/>
    <w:rsid w:val="00AE185A"/>
    <w:rsid w:val="00AE1AEC"/>
    <w:rsid w:val="00AE1FDA"/>
    <w:rsid w:val="00AE22EB"/>
    <w:rsid w:val="00AE28C1"/>
    <w:rsid w:val="00AE293E"/>
    <w:rsid w:val="00AE2F2A"/>
    <w:rsid w:val="00AE30EF"/>
    <w:rsid w:val="00AE3D5B"/>
    <w:rsid w:val="00AE402C"/>
    <w:rsid w:val="00AE4136"/>
    <w:rsid w:val="00AE41AF"/>
    <w:rsid w:val="00AE467B"/>
    <w:rsid w:val="00AE4F7A"/>
    <w:rsid w:val="00AE626F"/>
    <w:rsid w:val="00AE6518"/>
    <w:rsid w:val="00AE6688"/>
    <w:rsid w:val="00AE7061"/>
    <w:rsid w:val="00AE795E"/>
    <w:rsid w:val="00AE7CAF"/>
    <w:rsid w:val="00AF03E6"/>
    <w:rsid w:val="00AF0635"/>
    <w:rsid w:val="00AF0711"/>
    <w:rsid w:val="00AF14CD"/>
    <w:rsid w:val="00AF1634"/>
    <w:rsid w:val="00AF1FEC"/>
    <w:rsid w:val="00AF2206"/>
    <w:rsid w:val="00AF22B4"/>
    <w:rsid w:val="00AF2348"/>
    <w:rsid w:val="00AF2551"/>
    <w:rsid w:val="00AF2795"/>
    <w:rsid w:val="00AF291E"/>
    <w:rsid w:val="00AF2A8F"/>
    <w:rsid w:val="00AF33ED"/>
    <w:rsid w:val="00AF377A"/>
    <w:rsid w:val="00AF3822"/>
    <w:rsid w:val="00AF3A76"/>
    <w:rsid w:val="00AF3BDD"/>
    <w:rsid w:val="00AF3D2C"/>
    <w:rsid w:val="00AF4212"/>
    <w:rsid w:val="00AF4308"/>
    <w:rsid w:val="00AF437A"/>
    <w:rsid w:val="00AF4707"/>
    <w:rsid w:val="00AF4E04"/>
    <w:rsid w:val="00AF4E0F"/>
    <w:rsid w:val="00AF4EF3"/>
    <w:rsid w:val="00AF5008"/>
    <w:rsid w:val="00AF5435"/>
    <w:rsid w:val="00AF5740"/>
    <w:rsid w:val="00AF5B17"/>
    <w:rsid w:val="00AF5DFF"/>
    <w:rsid w:val="00AF5E13"/>
    <w:rsid w:val="00AF64D9"/>
    <w:rsid w:val="00AF72F7"/>
    <w:rsid w:val="00AF76D1"/>
    <w:rsid w:val="00B002AD"/>
    <w:rsid w:val="00B005BC"/>
    <w:rsid w:val="00B005DB"/>
    <w:rsid w:val="00B006C9"/>
    <w:rsid w:val="00B007AA"/>
    <w:rsid w:val="00B00AE5"/>
    <w:rsid w:val="00B00C4C"/>
    <w:rsid w:val="00B01966"/>
    <w:rsid w:val="00B01A73"/>
    <w:rsid w:val="00B01AE6"/>
    <w:rsid w:val="00B0257E"/>
    <w:rsid w:val="00B02772"/>
    <w:rsid w:val="00B02F4D"/>
    <w:rsid w:val="00B031EF"/>
    <w:rsid w:val="00B0434F"/>
    <w:rsid w:val="00B0443D"/>
    <w:rsid w:val="00B047D2"/>
    <w:rsid w:val="00B0498A"/>
    <w:rsid w:val="00B04FE6"/>
    <w:rsid w:val="00B05162"/>
    <w:rsid w:val="00B057C0"/>
    <w:rsid w:val="00B05AB7"/>
    <w:rsid w:val="00B05D19"/>
    <w:rsid w:val="00B0610C"/>
    <w:rsid w:val="00B06E9F"/>
    <w:rsid w:val="00B07056"/>
    <w:rsid w:val="00B0729A"/>
    <w:rsid w:val="00B07436"/>
    <w:rsid w:val="00B07999"/>
    <w:rsid w:val="00B07CCE"/>
    <w:rsid w:val="00B07D5D"/>
    <w:rsid w:val="00B109A3"/>
    <w:rsid w:val="00B10B30"/>
    <w:rsid w:val="00B10C46"/>
    <w:rsid w:val="00B10C7E"/>
    <w:rsid w:val="00B113DD"/>
    <w:rsid w:val="00B11429"/>
    <w:rsid w:val="00B11726"/>
    <w:rsid w:val="00B1175C"/>
    <w:rsid w:val="00B12074"/>
    <w:rsid w:val="00B12C7D"/>
    <w:rsid w:val="00B12E0C"/>
    <w:rsid w:val="00B133F6"/>
    <w:rsid w:val="00B1393A"/>
    <w:rsid w:val="00B13ACC"/>
    <w:rsid w:val="00B13F8F"/>
    <w:rsid w:val="00B14924"/>
    <w:rsid w:val="00B149D7"/>
    <w:rsid w:val="00B14B49"/>
    <w:rsid w:val="00B14E76"/>
    <w:rsid w:val="00B151C7"/>
    <w:rsid w:val="00B15570"/>
    <w:rsid w:val="00B15841"/>
    <w:rsid w:val="00B15F1B"/>
    <w:rsid w:val="00B15F74"/>
    <w:rsid w:val="00B1625E"/>
    <w:rsid w:val="00B16475"/>
    <w:rsid w:val="00B1670C"/>
    <w:rsid w:val="00B16744"/>
    <w:rsid w:val="00B16BA6"/>
    <w:rsid w:val="00B17547"/>
    <w:rsid w:val="00B201A0"/>
    <w:rsid w:val="00B2058E"/>
    <w:rsid w:val="00B20C9F"/>
    <w:rsid w:val="00B20DF6"/>
    <w:rsid w:val="00B214AF"/>
    <w:rsid w:val="00B21BDA"/>
    <w:rsid w:val="00B21C51"/>
    <w:rsid w:val="00B21CD6"/>
    <w:rsid w:val="00B222F2"/>
    <w:rsid w:val="00B23699"/>
    <w:rsid w:val="00B23C63"/>
    <w:rsid w:val="00B23E3F"/>
    <w:rsid w:val="00B240D0"/>
    <w:rsid w:val="00B249FB"/>
    <w:rsid w:val="00B24C03"/>
    <w:rsid w:val="00B24DC4"/>
    <w:rsid w:val="00B25777"/>
    <w:rsid w:val="00B259E6"/>
    <w:rsid w:val="00B26133"/>
    <w:rsid w:val="00B261DA"/>
    <w:rsid w:val="00B26374"/>
    <w:rsid w:val="00B267C8"/>
    <w:rsid w:val="00B271AA"/>
    <w:rsid w:val="00B2781D"/>
    <w:rsid w:val="00B27A0F"/>
    <w:rsid w:val="00B27CE0"/>
    <w:rsid w:val="00B304F0"/>
    <w:rsid w:val="00B30A9A"/>
    <w:rsid w:val="00B30FD0"/>
    <w:rsid w:val="00B31037"/>
    <w:rsid w:val="00B31AF8"/>
    <w:rsid w:val="00B31C9C"/>
    <w:rsid w:val="00B31CE7"/>
    <w:rsid w:val="00B31D07"/>
    <w:rsid w:val="00B3204C"/>
    <w:rsid w:val="00B32337"/>
    <w:rsid w:val="00B32C92"/>
    <w:rsid w:val="00B32FC0"/>
    <w:rsid w:val="00B333F4"/>
    <w:rsid w:val="00B33B58"/>
    <w:rsid w:val="00B351EF"/>
    <w:rsid w:val="00B356E7"/>
    <w:rsid w:val="00B362F2"/>
    <w:rsid w:val="00B36885"/>
    <w:rsid w:val="00B36D6F"/>
    <w:rsid w:val="00B36E71"/>
    <w:rsid w:val="00B36F1B"/>
    <w:rsid w:val="00B36F4D"/>
    <w:rsid w:val="00B3704F"/>
    <w:rsid w:val="00B371DC"/>
    <w:rsid w:val="00B37206"/>
    <w:rsid w:val="00B37458"/>
    <w:rsid w:val="00B37704"/>
    <w:rsid w:val="00B37A3F"/>
    <w:rsid w:val="00B403A0"/>
    <w:rsid w:val="00B40C8D"/>
    <w:rsid w:val="00B40EB2"/>
    <w:rsid w:val="00B40F56"/>
    <w:rsid w:val="00B41094"/>
    <w:rsid w:val="00B414A2"/>
    <w:rsid w:val="00B417C8"/>
    <w:rsid w:val="00B419D8"/>
    <w:rsid w:val="00B41E92"/>
    <w:rsid w:val="00B42118"/>
    <w:rsid w:val="00B42AE6"/>
    <w:rsid w:val="00B42E66"/>
    <w:rsid w:val="00B4311A"/>
    <w:rsid w:val="00B431C7"/>
    <w:rsid w:val="00B437DC"/>
    <w:rsid w:val="00B438B8"/>
    <w:rsid w:val="00B43A8C"/>
    <w:rsid w:val="00B44689"/>
    <w:rsid w:val="00B44CDC"/>
    <w:rsid w:val="00B45237"/>
    <w:rsid w:val="00B45480"/>
    <w:rsid w:val="00B45B4C"/>
    <w:rsid w:val="00B45C47"/>
    <w:rsid w:val="00B45D83"/>
    <w:rsid w:val="00B460E5"/>
    <w:rsid w:val="00B46496"/>
    <w:rsid w:val="00B4691B"/>
    <w:rsid w:val="00B46B58"/>
    <w:rsid w:val="00B46B90"/>
    <w:rsid w:val="00B47B3A"/>
    <w:rsid w:val="00B47D19"/>
    <w:rsid w:val="00B47EF7"/>
    <w:rsid w:val="00B50287"/>
    <w:rsid w:val="00B50AF0"/>
    <w:rsid w:val="00B5111C"/>
    <w:rsid w:val="00B513A0"/>
    <w:rsid w:val="00B51999"/>
    <w:rsid w:val="00B535EE"/>
    <w:rsid w:val="00B536A4"/>
    <w:rsid w:val="00B5385C"/>
    <w:rsid w:val="00B5429B"/>
    <w:rsid w:val="00B545F3"/>
    <w:rsid w:val="00B548A6"/>
    <w:rsid w:val="00B54927"/>
    <w:rsid w:val="00B54AA2"/>
    <w:rsid w:val="00B54B6D"/>
    <w:rsid w:val="00B54C16"/>
    <w:rsid w:val="00B5542C"/>
    <w:rsid w:val="00B55F97"/>
    <w:rsid w:val="00B5606A"/>
    <w:rsid w:val="00B56DC9"/>
    <w:rsid w:val="00B56E77"/>
    <w:rsid w:val="00B570F5"/>
    <w:rsid w:val="00B571DA"/>
    <w:rsid w:val="00B57535"/>
    <w:rsid w:val="00B575CD"/>
    <w:rsid w:val="00B5775E"/>
    <w:rsid w:val="00B5785A"/>
    <w:rsid w:val="00B57FB6"/>
    <w:rsid w:val="00B600F7"/>
    <w:rsid w:val="00B60BA2"/>
    <w:rsid w:val="00B60D78"/>
    <w:rsid w:val="00B615E1"/>
    <w:rsid w:val="00B616DE"/>
    <w:rsid w:val="00B61E46"/>
    <w:rsid w:val="00B621DB"/>
    <w:rsid w:val="00B622AE"/>
    <w:rsid w:val="00B62B27"/>
    <w:rsid w:val="00B62BEC"/>
    <w:rsid w:val="00B63987"/>
    <w:rsid w:val="00B64590"/>
    <w:rsid w:val="00B64790"/>
    <w:rsid w:val="00B64985"/>
    <w:rsid w:val="00B658E8"/>
    <w:rsid w:val="00B669A8"/>
    <w:rsid w:val="00B6725B"/>
    <w:rsid w:val="00B7034D"/>
    <w:rsid w:val="00B71130"/>
    <w:rsid w:val="00B714D2"/>
    <w:rsid w:val="00B7188D"/>
    <w:rsid w:val="00B71ABA"/>
    <w:rsid w:val="00B7233B"/>
    <w:rsid w:val="00B724D4"/>
    <w:rsid w:val="00B725EC"/>
    <w:rsid w:val="00B73A19"/>
    <w:rsid w:val="00B73B1E"/>
    <w:rsid w:val="00B73BCA"/>
    <w:rsid w:val="00B73D80"/>
    <w:rsid w:val="00B7446E"/>
    <w:rsid w:val="00B74890"/>
    <w:rsid w:val="00B7521A"/>
    <w:rsid w:val="00B75527"/>
    <w:rsid w:val="00B75EB3"/>
    <w:rsid w:val="00B75F6B"/>
    <w:rsid w:val="00B7711F"/>
    <w:rsid w:val="00B771CC"/>
    <w:rsid w:val="00B77264"/>
    <w:rsid w:val="00B77F38"/>
    <w:rsid w:val="00B80244"/>
    <w:rsid w:val="00B8040B"/>
    <w:rsid w:val="00B80989"/>
    <w:rsid w:val="00B80F2B"/>
    <w:rsid w:val="00B80F63"/>
    <w:rsid w:val="00B80F75"/>
    <w:rsid w:val="00B81461"/>
    <w:rsid w:val="00B81938"/>
    <w:rsid w:val="00B829C3"/>
    <w:rsid w:val="00B82B38"/>
    <w:rsid w:val="00B82FE2"/>
    <w:rsid w:val="00B830A1"/>
    <w:rsid w:val="00B83606"/>
    <w:rsid w:val="00B83EA2"/>
    <w:rsid w:val="00B8469E"/>
    <w:rsid w:val="00B848DD"/>
    <w:rsid w:val="00B84B90"/>
    <w:rsid w:val="00B84DDB"/>
    <w:rsid w:val="00B84EA9"/>
    <w:rsid w:val="00B84F85"/>
    <w:rsid w:val="00B84F96"/>
    <w:rsid w:val="00B85045"/>
    <w:rsid w:val="00B8542C"/>
    <w:rsid w:val="00B85608"/>
    <w:rsid w:val="00B85755"/>
    <w:rsid w:val="00B86164"/>
    <w:rsid w:val="00B86807"/>
    <w:rsid w:val="00B86D82"/>
    <w:rsid w:val="00B8700E"/>
    <w:rsid w:val="00B875BB"/>
    <w:rsid w:val="00B87635"/>
    <w:rsid w:val="00B87A6A"/>
    <w:rsid w:val="00B902AE"/>
    <w:rsid w:val="00B9055F"/>
    <w:rsid w:val="00B90774"/>
    <w:rsid w:val="00B90FE6"/>
    <w:rsid w:val="00B9186F"/>
    <w:rsid w:val="00B91BBB"/>
    <w:rsid w:val="00B91D19"/>
    <w:rsid w:val="00B91DE4"/>
    <w:rsid w:val="00B9201F"/>
    <w:rsid w:val="00B9285F"/>
    <w:rsid w:val="00B930CC"/>
    <w:rsid w:val="00B93244"/>
    <w:rsid w:val="00B93675"/>
    <w:rsid w:val="00B94B6F"/>
    <w:rsid w:val="00B95084"/>
    <w:rsid w:val="00B9512C"/>
    <w:rsid w:val="00B960F5"/>
    <w:rsid w:val="00B96231"/>
    <w:rsid w:val="00B969DC"/>
    <w:rsid w:val="00B96EDF"/>
    <w:rsid w:val="00B97472"/>
    <w:rsid w:val="00B97562"/>
    <w:rsid w:val="00B97E9E"/>
    <w:rsid w:val="00B97F3D"/>
    <w:rsid w:val="00B97FBC"/>
    <w:rsid w:val="00BA0387"/>
    <w:rsid w:val="00BA039A"/>
    <w:rsid w:val="00BA10EB"/>
    <w:rsid w:val="00BA2225"/>
    <w:rsid w:val="00BA27E5"/>
    <w:rsid w:val="00BA2D5A"/>
    <w:rsid w:val="00BA2F49"/>
    <w:rsid w:val="00BA3F1D"/>
    <w:rsid w:val="00BA48A6"/>
    <w:rsid w:val="00BA48D0"/>
    <w:rsid w:val="00BA4C07"/>
    <w:rsid w:val="00BA54F1"/>
    <w:rsid w:val="00BA591E"/>
    <w:rsid w:val="00BA5950"/>
    <w:rsid w:val="00BA5DCE"/>
    <w:rsid w:val="00BA6188"/>
    <w:rsid w:val="00BA6203"/>
    <w:rsid w:val="00BA7091"/>
    <w:rsid w:val="00BB0732"/>
    <w:rsid w:val="00BB0C53"/>
    <w:rsid w:val="00BB0F12"/>
    <w:rsid w:val="00BB0F9B"/>
    <w:rsid w:val="00BB19CD"/>
    <w:rsid w:val="00BB1D22"/>
    <w:rsid w:val="00BB1F79"/>
    <w:rsid w:val="00BB2380"/>
    <w:rsid w:val="00BB2588"/>
    <w:rsid w:val="00BB2827"/>
    <w:rsid w:val="00BB2B5B"/>
    <w:rsid w:val="00BB2C06"/>
    <w:rsid w:val="00BB2EB3"/>
    <w:rsid w:val="00BB2FF5"/>
    <w:rsid w:val="00BB30CA"/>
    <w:rsid w:val="00BB3FEE"/>
    <w:rsid w:val="00BB421A"/>
    <w:rsid w:val="00BB4762"/>
    <w:rsid w:val="00BB5148"/>
    <w:rsid w:val="00BB563E"/>
    <w:rsid w:val="00BB575A"/>
    <w:rsid w:val="00BB57A0"/>
    <w:rsid w:val="00BB60D1"/>
    <w:rsid w:val="00BB6829"/>
    <w:rsid w:val="00BB6F75"/>
    <w:rsid w:val="00BB71DB"/>
    <w:rsid w:val="00BB7831"/>
    <w:rsid w:val="00BC0016"/>
    <w:rsid w:val="00BC047B"/>
    <w:rsid w:val="00BC08D5"/>
    <w:rsid w:val="00BC0926"/>
    <w:rsid w:val="00BC1C99"/>
    <w:rsid w:val="00BC2226"/>
    <w:rsid w:val="00BC2265"/>
    <w:rsid w:val="00BC22C5"/>
    <w:rsid w:val="00BC24E7"/>
    <w:rsid w:val="00BC2754"/>
    <w:rsid w:val="00BC2891"/>
    <w:rsid w:val="00BC2A6A"/>
    <w:rsid w:val="00BC2CE1"/>
    <w:rsid w:val="00BC2DC3"/>
    <w:rsid w:val="00BC36D3"/>
    <w:rsid w:val="00BC3C7D"/>
    <w:rsid w:val="00BC423F"/>
    <w:rsid w:val="00BC42EF"/>
    <w:rsid w:val="00BC4475"/>
    <w:rsid w:val="00BC4AA6"/>
    <w:rsid w:val="00BC4C4C"/>
    <w:rsid w:val="00BC4C8D"/>
    <w:rsid w:val="00BC53D1"/>
    <w:rsid w:val="00BC5413"/>
    <w:rsid w:val="00BC707B"/>
    <w:rsid w:val="00BC75BB"/>
    <w:rsid w:val="00BC7E60"/>
    <w:rsid w:val="00BC7FE7"/>
    <w:rsid w:val="00BD0000"/>
    <w:rsid w:val="00BD00E7"/>
    <w:rsid w:val="00BD0146"/>
    <w:rsid w:val="00BD0873"/>
    <w:rsid w:val="00BD1628"/>
    <w:rsid w:val="00BD22F7"/>
    <w:rsid w:val="00BD27F6"/>
    <w:rsid w:val="00BD2803"/>
    <w:rsid w:val="00BD29C2"/>
    <w:rsid w:val="00BD36B3"/>
    <w:rsid w:val="00BD3B7F"/>
    <w:rsid w:val="00BD41C1"/>
    <w:rsid w:val="00BD41F4"/>
    <w:rsid w:val="00BD42DF"/>
    <w:rsid w:val="00BD451B"/>
    <w:rsid w:val="00BD48CF"/>
    <w:rsid w:val="00BD5335"/>
    <w:rsid w:val="00BD5978"/>
    <w:rsid w:val="00BD601C"/>
    <w:rsid w:val="00BD68C0"/>
    <w:rsid w:val="00BD6991"/>
    <w:rsid w:val="00BD6AA4"/>
    <w:rsid w:val="00BD6BDF"/>
    <w:rsid w:val="00BD712F"/>
    <w:rsid w:val="00BD7509"/>
    <w:rsid w:val="00BD785B"/>
    <w:rsid w:val="00BD7E23"/>
    <w:rsid w:val="00BE03E6"/>
    <w:rsid w:val="00BE052D"/>
    <w:rsid w:val="00BE0942"/>
    <w:rsid w:val="00BE09E2"/>
    <w:rsid w:val="00BE117C"/>
    <w:rsid w:val="00BE1273"/>
    <w:rsid w:val="00BE16E9"/>
    <w:rsid w:val="00BE1961"/>
    <w:rsid w:val="00BE1E07"/>
    <w:rsid w:val="00BE208E"/>
    <w:rsid w:val="00BE2269"/>
    <w:rsid w:val="00BE2677"/>
    <w:rsid w:val="00BE2B92"/>
    <w:rsid w:val="00BE3105"/>
    <w:rsid w:val="00BE313B"/>
    <w:rsid w:val="00BE32FA"/>
    <w:rsid w:val="00BE3457"/>
    <w:rsid w:val="00BE36F5"/>
    <w:rsid w:val="00BE38BF"/>
    <w:rsid w:val="00BE3C04"/>
    <w:rsid w:val="00BE3EF2"/>
    <w:rsid w:val="00BE46CB"/>
    <w:rsid w:val="00BE4F17"/>
    <w:rsid w:val="00BE5D4A"/>
    <w:rsid w:val="00BE6049"/>
    <w:rsid w:val="00BE62C7"/>
    <w:rsid w:val="00BE63B6"/>
    <w:rsid w:val="00BE65A4"/>
    <w:rsid w:val="00BE6811"/>
    <w:rsid w:val="00BE6A58"/>
    <w:rsid w:val="00BE75A8"/>
    <w:rsid w:val="00BE7C6F"/>
    <w:rsid w:val="00BE7EE1"/>
    <w:rsid w:val="00BF004A"/>
    <w:rsid w:val="00BF0301"/>
    <w:rsid w:val="00BF03B0"/>
    <w:rsid w:val="00BF071E"/>
    <w:rsid w:val="00BF08BE"/>
    <w:rsid w:val="00BF106E"/>
    <w:rsid w:val="00BF13AB"/>
    <w:rsid w:val="00BF13E6"/>
    <w:rsid w:val="00BF140E"/>
    <w:rsid w:val="00BF163D"/>
    <w:rsid w:val="00BF16BD"/>
    <w:rsid w:val="00BF1F69"/>
    <w:rsid w:val="00BF2022"/>
    <w:rsid w:val="00BF235E"/>
    <w:rsid w:val="00BF25FE"/>
    <w:rsid w:val="00BF2614"/>
    <w:rsid w:val="00BF276C"/>
    <w:rsid w:val="00BF33A8"/>
    <w:rsid w:val="00BF34E6"/>
    <w:rsid w:val="00BF37CD"/>
    <w:rsid w:val="00BF3926"/>
    <w:rsid w:val="00BF3D1C"/>
    <w:rsid w:val="00BF43FD"/>
    <w:rsid w:val="00BF4FFC"/>
    <w:rsid w:val="00BF51A6"/>
    <w:rsid w:val="00BF51CE"/>
    <w:rsid w:val="00BF53CD"/>
    <w:rsid w:val="00BF5A27"/>
    <w:rsid w:val="00BF5FB3"/>
    <w:rsid w:val="00BF61EA"/>
    <w:rsid w:val="00BF68CC"/>
    <w:rsid w:val="00BF71E0"/>
    <w:rsid w:val="00BF7C3A"/>
    <w:rsid w:val="00BF7CFB"/>
    <w:rsid w:val="00C008D3"/>
    <w:rsid w:val="00C00979"/>
    <w:rsid w:val="00C00CC1"/>
    <w:rsid w:val="00C00F62"/>
    <w:rsid w:val="00C02004"/>
    <w:rsid w:val="00C02028"/>
    <w:rsid w:val="00C02618"/>
    <w:rsid w:val="00C030F9"/>
    <w:rsid w:val="00C0352F"/>
    <w:rsid w:val="00C036FE"/>
    <w:rsid w:val="00C03CED"/>
    <w:rsid w:val="00C03FD5"/>
    <w:rsid w:val="00C0412D"/>
    <w:rsid w:val="00C04192"/>
    <w:rsid w:val="00C0470D"/>
    <w:rsid w:val="00C04BCE"/>
    <w:rsid w:val="00C0590E"/>
    <w:rsid w:val="00C05E19"/>
    <w:rsid w:val="00C06232"/>
    <w:rsid w:val="00C06B2E"/>
    <w:rsid w:val="00C07304"/>
    <w:rsid w:val="00C07C29"/>
    <w:rsid w:val="00C07DE9"/>
    <w:rsid w:val="00C101F4"/>
    <w:rsid w:val="00C10956"/>
    <w:rsid w:val="00C10B44"/>
    <w:rsid w:val="00C114ED"/>
    <w:rsid w:val="00C116D4"/>
    <w:rsid w:val="00C11EA3"/>
    <w:rsid w:val="00C1209A"/>
    <w:rsid w:val="00C125DC"/>
    <w:rsid w:val="00C12A6A"/>
    <w:rsid w:val="00C12D71"/>
    <w:rsid w:val="00C12D7A"/>
    <w:rsid w:val="00C13031"/>
    <w:rsid w:val="00C1311E"/>
    <w:rsid w:val="00C1348C"/>
    <w:rsid w:val="00C135BA"/>
    <w:rsid w:val="00C13B9C"/>
    <w:rsid w:val="00C1425E"/>
    <w:rsid w:val="00C142ED"/>
    <w:rsid w:val="00C15E7D"/>
    <w:rsid w:val="00C16781"/>
    <w:rsid w:val="00C167B8"/>
    <w:rsid w:val="00C16AD8"/>
    <w:rsid w:val="00C16D01"/>
    <w:rsid w:val="00C17094"/>
    <w:rsid w:val="00C17220"/>
    <w:rsid w:val="00C17333"/>
    <w:rsid w:val="00C20278"/>
    <w:rsid w:val="00C20398"/>
    <w:rsid w:val="00C2041E"/>
    <w:rsid w:val="00C20BA0"/>
    <w:rsid w:val="00C20C69"/>
    <w:rsid w:val="00C20EEA"/>
    <w:rsid w:val="00C2130A"/>
    <w:rsid w:val="00C213E9"/>
    <w:rsid w:val="00C215B8"/>
    <w:rsid w:val="00C21BB2"/>
    <w:rsid w:val="00C222B8"/>
    <w:rsid w:val="00C224FE"/>
    <w:rsid w:val="00C22D34"/>
    <w:rsid w:val="00C22E18"/>
    <w:rsid w:val="00C22F23"/>
    <w:rsid w:val="00C23F3E"/>
    <w:rsid w:val="00C24236"/>
    <w:rsid w:val="00C247B5"/>
    <w:rsid w:val="00C25071"/>
    <w:rsid w:val="00C2533A"/>
    <w:rsid w:val="00C25348"/>
    <w:rsid w:val="00C2552D"/>
    <w:rsid w:val="00C25712"/>
    <w:rsid w:val="00C25910"/>
    <w:rsid w:val="00C25D1D"/>
    <w:rsid w:val="00C25E06"/>
    <w:rsid w:val="00C260BB"/>
    <w:rsid w:val="00C26358"/>
    <w:rsid w:val="00C26737"/>
    <w:rsid w:val="00C26E0E"/>
    <w:rsid w:val="00C27428"/>
    <w:rsid w:val="00C27879"/>
    <w:rsid w:val="00C27B2E"/>
    <w:rsid w:val="00C27C5F"/>
    <w:rsid w:val="00C305E5"/>
    <w:rsid w:val="00C3068F"/>
    <w:rsid w:val="00C30D29"/>
    <w:rsid w:val="00C30EA4"/>
    <w:rsid w:val="00C3179D"/>
    <w:rsid w:val="00C31B4B"/>
    <w:rsid w:val="00C31D65"/>
    <w:rsid w:val="00C32597"/>
    <w:rsid w:val="00C32653"/>
    <w:rsid w:val="00C32CDE"/>
    <w:rsid w:val="00C32EE4"/>
    <w:rsid w:val="00C32FA3"/>
    <w:rsid w:val="00C33686"/>
    <w:rsid w:val="00C33693"/>
    <w:rsid w:val="00C33871"/>
    <w:rsid w:val="00C33B92"/>
    <w:rsid w:val="00C33DF4"/>
    <w:rsid w:val="00C3400D"/>
    <w:rsid w:val="00C342E1"/>
    <w:rsid w:val="00C343BF"/>
    <w:rsid w:val="00C347D9"/>
    <w:rsid w:val="00C34F0D"/>
    <w:rsid w:val="00C35817"/>
    <w:rsid w:val="00C35B35"/>
    <w:rsid w:val="00C35E45"/>
    <w:rsid w:val="00C361C9"/>
    <w:rsid w:val="00C3621A"/>
    <w:rsid w:val="00C3650B"/>
    <w:rsid w:val="00C365B7"/>
    <w:rsid w:val="00C36BD6"/>
    <w:rsid w:val="00C37A1C"/>
    <w:rsid w:val="00C37C67"/>
    <w:rsid w:val="00C401EB"/>
    <w:rsid w:val="00C401F5"/>
    <w:rsid w:val="00C40298"/>
    <w:rsid w:val="00C409F6"/>
    <w:rsid w:val="00C40C91"/>
    <w:rsid w:val="00C41C0C"/>
    <w:rsid w:val="00C41F66"/>
    <w:rsid w:val="00C421F5"/>
    <w:rsid w:val="00C43749"/>
    <w:rsid w:val="00C43977"/>
    <w:rsid w:val="00C43A6D"/>
    <w:rsid w:val="00C440DB"/>
    <w:rsid w:val="00C441CF"/>
    <w:rsid w:val="00C44ABB"/>
    <w:rsid w:val="00C44F1A"/>
    <w:rsid w:val="00C44F42"/>
    <w:rsid w:val="00C45341"/>
    <w:rsid w:val="00C456B8"/>
    <w:rsid w:val="00C45B11"/>
    <w:rsid w:val="00C45E1F"/>
    <w:rsid w:val="00C460FE"/>
    <w:rsid w:val="00C461E3"/>
    <w:rsid w:val="00C46564"/>
    <w:rsid w:val="00C466FB"/>
    <w:rsid w:val="00C46BAA"/>
    <w:rsid w:val="00C46C79"/>
    <w:rsid w:val="00C46DB4"/>
    <w:rsid w:val="00C47456"/>
    <w:rsid w:val="00C5008D"/>
    <w:rsid w:val="00C50690"/>
    <w:rsid w:val="00C50B0D"/>
    <w:rsid w:val="00C51227"/>
    <w:rsid w:val="00C51336"/>
    <w:rsid w:val="00C51BEA"/>
    <w:rsid w:val="00C52325"/>
    <w:rsid w:val="00C526A5"/>
    <w:rsid w:val="00C5347B"/>
    <w:rsid w:val="00C534E7"/>
    <w:rsid w:val="00C547C8"/>
    <w:rsid w:val="00C54D31"/>
    <w:rsid w:val="00C54F1E"/>
    <w:rsid w:val="00C54F38"/>
    <w:rsid w:val="00C55384"/>
    <w:rsid w:val="00C5586A"/>
    <w:rsid w:val="00C55C92"/>
    <w:rsid w:val="00C55CD5"/>
    <w:rsid w:val="00C56A4A"/>
    <w:rsid w:val="00C56B85"/>
    <w:rsid w:val="00C56BBB"/>
    <w:rsid w:val="00C571E3"/>
    <w:rsid w:val="00C57528"/>
    <w:rsid w:val="00C57889"/>
    <w:rsid w:val="00C57D3A"/>
    <w:rsid w:val="00C600CD"/>
    <w:rsid w:val="00C60CEE"/>
    <w:rsid w:val="00C60F3F"/>
    <w:rsid w:val="00C6118F"/>
    <w:rsid w:val="00C617CE"/>
    <w:rsid w:val="00C61E91"/>
    <w:rsid w:val="00C61F65"/>
    <w:rsid w:val="00C62D12"/>
    <w:rsid w:val="00C62D19"/>
    <w:rsid w:val="00C6339D"/>
    <w:rsid w:val="00C63C1A"/>
    <w:rsid w:val="00C63E00"/>
    <w:rsid w:val="00C64084"/>
    <w:rsid w:val="00C64A4F"/>
    <w:rsid w:val="00C64A77"/>
    <w:rsid w:val="00C64B6D"/>
    <w:rsid w:val="00C64D39"/>
    <w:rsid w:val="00C64DFF"/>
    <w:rsid w:val="00C64FFF"/>
    <w:rsid w:val="00C6625A"/>
    <w:rsid w:val="00C6655F"/>
    <w:rsid w:val="00C6661A"/>
    <w:rsid w:val="00C66BB5"/>
    <w:rsid w:val="00C66BE9"/>
    <w:rsid w:val="00C66D7D"/>
    <w:rsid w:val="00C6757C"/>
    <w:rsid w:val="00C67842"/>
    <w:rsid w:val="00C67941"/>
    <w:rsid w:val="00C67B30"/>
    <w:rsid w:val="00C70403"/>
    <w:rsid w:val="00C704A0"/>
    <w:rsid w:val="00C70538"/>
    <w:rsid w:val="00C70B72"/>
    <w:rsid w:val="00C70CBF"/>
    <w:rsid w:val="00C70FD6"/>
    <w:rsid w:val="00C7110D"/>
    <w:rsid w:val="00C712FB"/>
    <w:rsid w:val="00C7185A"/>
    <w:rsid w:val="00C71E30"/>
    <w:rsid w:val="00C71E53"/>
    <w:rsid w:val="00C72004"/>
    <w:rsid w:val="00C72073"/>
    <w:rsid w:val="00C72416"/>
    <w:rsid w:val="00C724CC"/>
    <w:rsid w:val="00C724F1"/>
    <w:rsid w:val="00C730A0"/>
    <w:rsid w:val="00C73308"/>
    <w:rsid w:val="00C73893"/>
    <w:rsid w:val="00C739DF"/>
    <w:rsid w:val="00C73B24"/>
    <w:rsid w:val="00C73B63"/>
    <w:rsid w:val="00C73C7C"/>
    <w:rsid w:val="00C73D1F"/>
    <w:rsid w:val="00C74513"/>
    <w:rsid w:val="00C74A11"/>
    <w:rsid w:val="00C74C1C"/>
    <w:rsid w:val="00C74DDD"/>
    <w:rsid w:val="00C7508A"/>
    <w:rsid w:val="00C75CA7"/>
    <w:rsid w:val="00C75E5B"/>
    <w:rsid w:val="00C764AB"/>
    <w:rsid w:val="00C76AEA"/>
    <w:rsid w:val="00C76DD4"/>
    <w:rsid w:val="00C76EC7"/>
    <w:rsid w:val="00C76FA2"/>
    <w:rsid w:val="00C76FF6"/>
    <w:rsid w:val="00C77764"/>
    <w:rsid w:val="00C777CA"/>
    <w:rsid w:val="00C77826"/>
    <w:rsid w:val="00C7797D"/>
    <w:rsid w:val="00C80292"/>
    <w:rsid w:val="00C80377"/>
    <w:rsid w:val="00C80912"/>
    <w:rsid w:val="00C80E39"/>
    <w:rsid w:val="00C80F10"/>
    <w:rsid w:val="00C811ED"/>
    <w:rsid w:val="00C816A4"/>
    <w:rsid w:val="00C818DB"/>
    <w:rsid w:val="00C822BD"/>
    <w:rsid w:val="00C8269E"/>
    <w:rsid w:val="00C827B3"/>
    <w:rsid w:val="00C82DA5"/>
    <w:rsid w:val="00C82E0D"/>
    <w:rsid w:val="00C82F60"/>
    <w:rsid w:val="00C831BC"/>
    <w:rsid w:val="00C835B3"/>
    <w:rsid w:val="00C83B64"/>
    <w:rsid w:val="00C83E2E"/>
    <w:rsid w:val="00C841F5"/>
    <w:rsid w:val="00C85306"/>
    <w:rsid w:val="00C855F3"/>
    <w:rsid w:val="00C85B9C"/>
    <w:rsid w:val="00C85F2F"/>
    <w:rsid w:val="00C867EB"/>
    <w:rsid w:val="00C868DD"/>
    <w:rsid w:val="00C86A70"/>
    <w:rsid w:val="00C86B10"/>
    <w:rsid w:val="00C86BB7"/>
    <w:rsid w:val="00C876F6"/>
    <w:rsid w:val="00C87B5E"/>
    <w:rsid w:val="00C87EC5"/>
    <w:rsid w:val="00C90356"/>
    <w:rsid w:val="00C90607"/>
    <w:rsid w:val="00C90DCD"/>
    <w:rsid w:val="00C90DEA"/>
    <w:rsid w:val="00C91154"/>
    <w:rsid w:val="00C91B2B"/>
    <w:rsid w:val="00C926E1"/>
    <w:rsid w:val="00C927F5"/>
    <w:rsid w:val="00C9296D"/>
    <w:rsid w:val="00C92AAC"/>
    <w:rsid w:val="00C92ACE"/>
    <w:rsid w:val="00C92DE8"/>
    <w:rsid w:val="00C931AE"/>
    <w:rsid w:val="00C93882"/>
    <w:rsid w:val="00C94CDA"/>
    <w:rsid w:val="00C94CEB"/>
    <w:rsid w:val="00C95C0A"/>
    <w:rsid w:val="00C96197"/>
    <w:rsid w:val="00C96642"/>
    <w:rsid w:val="00C96B9D"/>
    <w:rsid w:val="00C96F66"/>
    <w:rsid w:val="00C9715B"/>
    <w:rsid w:val="00C9778B"/>
    <w:rsid w:val="00CA061D"/>
    <w:rsid w:val="00CA08DE"/>
    <w:rsid w:val="00CA0E3D"/>
    <w:rsid w:val="00CA10D1"/>
    <w:rsid w:val="00CA1E3F"/>
    <w:rsid w:val="00CA2043"/>
    <w:rsid w:val="00CA3293"/>
    <w:rsid w:val="00CA35ED"/>
    <w:rsid w:val="00CA370F"/>
    <w:rsid w:val="00CA379C"/>
    <w:rsid w:val="00CA3C3B"/>
    <w:rsid w:val="00CA3F47"/>
    <w:rsid w:val="00CA4438"/>
    <w:rsid w:val="00CA4D17"/>
    <w:rsid w:val="00CA577A"/>
    <w:rsid w:val="00CA589F"/>
    <w:rsid w:val="00CA58C4"/>
    <w:rsid w:val="00CA5B18"/>
    <w:rsid w:val="00CA5D88"/>
    <w:rsid w:val="00CA5DDC"/>
    <w:rsid w:val="00CA6195"/>
    <w:rsid w:val="00CA6AED"/>
    <w:rsid w:val="00CA6BC7"/>
    <w:rsid w:val="00CA70B4"/>
    <w:rsid w:val="00CA7171"/>
    <w:rsid w:val="00CA72BC"/>
    <w:rsid w:val="00CB001F"/>
    <w:rsid w:val="00CB05C4"/>
    <w:rsid w:val="00CB060A"/>
    <w:rsid w:val="00CB0C71"/>
    <w:rsid w:val="00CB0CD2"/>
    <w:rsid w:val="00CB11F6"/>
    <w:rsid w:val="00CB18F8"/>
    <w:rsid w:val="00CB19AE"/>
    <w:rsid w:val="00CB2B99"/>
    <w:rsid w:val="00CB2D7D"/>
    <w:rsid w:val="00CB3363"/>
    <w:rsid w:val="00CB3737"/>
    <w:rsid w:val="00CB3881"/>
    <w:rsid w:val="00CB3C34"/>
    <w:rsid w:val="00CB3EBF"/>
    <w:rsid w:val="00CB4482"/>
    <w:rsid w:val="00CB4BA3"/>
    <w:rsid w:val="00CB4C00"/>
    <w:rsid w:val="00CB4EF7"/>
    <w:rsid w:val="00CB5DBE"/>
    <w:rsid w:val="00CB6059"/>
    <w:rsid w:val="00CB60DE"/>
    <w:rsid w:val="00CB6147"/>
    <w:rsid w:val="00CB6800"/>
    <w:rsid w:val="00CB69D0"/>
    <w:rsid w:val="00CC0629"/>
    <w:rsid w:val="00CC0676"/>
    <w:rsid w:val="00CC09A7"/>
    <w:rsid w:val="00CC0BF8"/>
    <w:rsid w:val="00CC0F62"/>
    <w:rsid w:val="00CC0FCF"/>
    <w:rsid w:val="00CC1018"/>
    <w:rsid w:val="00CC14EF"/>
    <w:rsid w:val="00CC152B"/>
    <w:rsid w:val="00CC163F"/>
    <w:rsid w:val="00CC1649"/>
    <w:rsid w:val="00CC1ABB"/>
    <w:rsid w:val="00CC1DB7"/>
    <w:rsid w:val="00CC2FD5"/>
    <w:rsid w:val="00CC3420"/>
    <w:rsid w:val="00CC3615"/>
    <w:rsid w:val="00CC3AAB"/>
    <w:rsid w:val="00CC4BC5"/>
    <w:rsid w:val="00CC4D25"/>
    <w:rsid w:val="00CC5094"/>
    <w:rsid w:val="00CC5470"/>
    <w:rsid w:val="00CC57E5"/>
    <w:rsid w:val="00CC5825"/>
    <w:rsid w:val="00CC5C58"/>
    <w:rsid w:val="00CC6602"/>
    <w:rsid w:val="00CC683F"/>
    <w:rsid w:val="00CC6C6C"/>
    <w:rsid w:val="00CC7155"/>
    <w:rsid w:val="00CC74B2"/>
    <w:rsid w:val="00CC77A3"/>
    <w:rsid w:val="00CC7C24"/>
    <w:rsid w:val="00CD065E"/>
    <w:rsid w:val="00CD082D"/>
    <w:rsid w:val="00CD0884"/>
    <w:rsid w:val="00CD0F97"/>
    <w:rsid w:val="00CD1228"/>
    <w:rsid w:val="00CD1686"/>
    <w:rsid w:val="00CD1AA7"/>
    <w:rsid w:val="00CD1F9A"/>
    <w:rsid w:val="00CD200B"/>
    <w:rsid w:val="00CD25DE"/>
    <w:rsid w:val="00CD27BA"/>
    <w:rsid w:val="00CD3271"/>
    <w:rsid w:val="00CD3AB8"/>
    <w:rsid w:val="00CD3F50"/>
    <w:rsid w:val="00CD4630"/>
    <w:rsid w:val="00CD48B6"/>
    <w:rsid w:val="00CD4C7F"/>
    <w:rsid w:val="00CD4E49"/>
    <w:rsid w:val="00CD5039"/>
    <w:rsid w:val="00CD5CE8"/>
    <w:rsid w:val="00CD6287"/>
    <w:rsid w:val="00CD6894"/>
    <w:rsid w:val="00CD6941"/>
    <w:rsid w:val="00CD69A6"/>
    <w:rsid w:val="00CD6F30"/>
    <w:rsid w:val="00CD74BE"/>
    <w:rsid w:val="00CD7E51"/>
    <w:rsid w:val="00CD7EF3"/>
    <w:rsid w:val="00CE0062"/>
    <w:rsid w:val="00CE00BC"/>
    <w:rsid w:val="00CE017B"/>
    <w:rsid w:val="00CE0343"/>
    <w:rsid w:val="00CE052F"/>
    <w:rsid w:val="00CE16A2"/>
    <w:rsid w:val="00CE2165"/>
    <w:rsid w:val="00CE21E2"/>
    <w:rsid w:val="00CE2233"/>
    <w:rsid w:val="00CE2F6A"/>
    <w:rsid w:val="00CE3678"/>
    <w:rsid w:val="00CE36B5"/>
    <w:rsid w:val="00CE38FC"/>
    <w:rsid w:val="00CE3B34"/>
    <w:rsid w:val="00CE3CFB"/>
    <w:rsid w:val="00CE3D55"/>
    <w:rsid w:val="00CE47B5"/>
    <w:rsid w:val="00CE5580"/>
    <w:rsid w:val="00CE70F5"/>
    <w:rsid w:val="00CE72F2"/>
    <w:rsid w:val="00CE746C"/>
    <w:rsid w:val="00CE74A3"/>
    <w:rsid w:val="00CF092D"/>
    <w:rsid w:val="00CF0BA9"/>
    <w:rsid w:val="00CF0ECB"/>
    <w:rsid w:val="00CF1271"/>
    <w:rsid w:val="00CF13CA"/>
    <w:rsid w:val="00CF1CC6"/>
    <w:rsid w:val="00CF221B"/>
    <w:rsid w:val="00CF2663"/>
    <w:rsid w:val="00CF2D49"/>
    <w:rsid w:val="00CF346F"/>
    <w:rsid w:val="00CF3AC1"/>
    <w:rsid w:val="00CF4500"/>
    <w:rsid w:val="00CF4516"/>
    <w:rsid w:val="00CF4629"/>
    <w:rsid w:val="00CF4C1C"/>
    <w:rsid w:val="00CF4DF2"/>
    <w:rsid w:val="00CF582A"/>
    <w:rsid w:val="00CF5BA9"/>
    <w:rsid w:val="00CF5ED1"/>
    <w:rsid w:val="00CF5F04"/>
    <w:rsid w:val="00CF604A"/>
    <w:rsid w:val="00CF61E2"/>
    <w:rsid w:val="00CF6D93"/>
    <w:rsid w:val="00CF70D7"/>
    <w:rsid w:val="00CF77B6"/>
    <w:rsid w:val="00CF78E4"/>
    <w:rsid w:val="00CF7AFB"/>
    <w:rsid w:val="00D0004D"/>
    <w:rsid w:val="00D002E0"/>
    <w:rsid w:val="00D0049F"/>
    <w:rsid w:val="00D005B9"/>
    <w:rsid w:val="00D00C23"/>
    <w:rsid w:val="00D00D74"/>
    <w:rsid w:val="00D010ED"/>
    <w:rsid w:val="00D01355"/>
    <w:rsid w:val="00D017C0"/>
    <w:rsid w:val="00D01A73"/>
    <w:rsid w:val="00D01D93"/>
    <w:rsid w:val="00D01FE5"/>
    <w:rsid w:val="00D0247A"/>
    <w:rsid w:val="00D03122"/>
    <w:rsid w:val="00D0312E"/>
    <w:rsid w:val="00D03396"/>
    <w:rsid w:val="00D033BB"/>
    <w:rsid w:val="00D03BCE"/>
    <w:rsid w:val="00D03D00"/>
    <w:rsid w:val="00D03D27"/>
    <w:rsid w:val="00D044C3"/>
    <w:rsid w:val="00D0466F"/>
    <w:rsid w:val="00D048D4"/>
    <w:rsid w:val="00D0494C"/>
    <w:rsid w:val="00D04BDA"/>
    <w:rsid w:val="00D04FFE"/>
    <w:rsid w:val="00D05080"/>
    <w:rsid w:val="00D053C9"/>
    <w:rsid w:val="00D05F07"/>
    <w:rsid w:val="00D0666D"/>
    <w:rsid w:val="00D0696C"/>
    <w:rsid w:val="00D06A42"/>
    <w:rsid w:val="00D070BF"/>
    <w:rsid w:val="00D07E89"/>
    <w:rsid w:val="00D10299"/>
    <w:rsid w:val="00D105C9"/>
    <w:rsid w:val="00D1084C"/>
    <w:rsid w:val="00D11374"/>
    <w:rsid w:val="00D11C4F"/>
    <w:rsid w:val="00D11D46"/>
    <w:rsid w:val="00D12B3C"/>
    <w:rsid w:val="00D12ECF"/>
    <w:rsid w:val="00D13149"/>
    <w:rsid w:val="00D1350A"/>
    <w:rsid w:val="00D135CB"/>
    <w:rsid w:val="00D13D3A"/>
    <w:rsid w:val="00D14428"/>
    <w:rsid w:val="00D145C0"/>
    <w:rsid w:val="00D14A3E"/>
    <w:rsid w:val="00D14C61"/>
    <w:rsid w:val="00D154EA"/>
    <w:rsid w:val="00D157B7"/>
    <w:rsid w:val="00D15B8B"/>
    <w:rsid w:val="00D15C52"/>
    <w:rsid w:val="00D15CBC"/>
    <w:rsid w:val="00D15D7E"/>
    <w:rsid w:val="00D161D6"/>
    <w:rsid w:val="00D16219"/>
    <w:rsid w:val="00D16535"/>
    <w:rsid w:val="00D16C60"/>
    <w:rsid w:val="00D172A1"/>
    <w:rsid w:val="00D174B5"/>
    <w:rsid w:val="00D175C3"/>
    <w:rsid w:val="00D2005D"/>
    <w:rsid w:val="00D2044C"/>
    <w:rsid w:val="00D21481"/>
    <w:rsid w:val="00D216DD"/>
    <w:rsid w:val="00D222F7"/>
    <w:rsid w:val="00D22455"/>
    <w:rsid w:val="00D2271A"/>
    <w:rsid w:val="00D22832"/>
    <w:rsid w:val="00D22AD4"/>
    <w:rsid w:val="00D22B5C"/>
    <w:rsid w:val="00D22BF7"/>
    <w:rsid w:val="00D22DCD"/>
    <w:rsid w:val="00D23772"/>
    <w:rsid w:val="00D2396C"/>
    <w:rsid w:val="00D239C1"/>
    <w:rsid w:val="00D23AB6"/>
    <w:rsid w:val="00D2409D"/>
    <w:rsid w:val="00D24168"/>
    <w:rsid w:val="00D246BB"/>
    <w:rsid w:val="00D24BAC"/>
    <w:rsid w:val="00D24BB1"/>
    <w:rsid w:val="00D24C38"/>
    <w:rsid w:val="00D24CF9"/>
    <w:rsid w:val="00D24F4E"/>
    <w:rsid w:val="00D255A6"/>
    <w:rsid w:val="00D25CD7"/>
    <w:rsid w:val="00D25D6A"/>
    <w:rsid w:val="00D26140"/>
    <w:rsid w:val="00D2694B"/>
    <w:rsid w:val="00D26B03"/>
    <w:rsid w:val="00D27037"/>
    <w:rsid w:val="00D274F6"/>
    <w:rsid w:val="00D30697"/>
    <w:rsid w:val="00D30923"/>
    <w:rsid w:val="00D3123D"/>
    <w:rsid w:val="00D31358"/>
    <w:rsid w:val="00D31C12"/>
    <w:rsid w:val="00D31D70"/>
    <w:rsid w:val="00D32297"/>
    <w:rsid w:val="00D3266D"/>
    <w:rsid w:val="00D32836"/>
    <w:rsid w:val="00D3288B"/>
    <w:rsid w:val="00D32B82"/>
    <w:rsid w:val="00D32D89"/>
    <w:rsid w:val="00D33940"/>
    <w:rsid w:val="00D33BD5"/>
    <w:rsid w:val="00D33C4D"/>
    <w:rsid w:val="00D3487D"/>
    <w:rsid w:val="00D3490F"/>
    <w:rsid w:val="00D352F0"/>
    <w:rsid w:val="00D35B55"/>
    <w:rsid w:val="00D35CB4"/>
    <w:rsid w:val="00D36C49"/>
    <w:rsid w:val="00D36E99"/>
    <w:rsid w:val="00D40616"/>
    <w:rsid w:val="00D410CF"/>
    <w:rsid w:val="00D41260"/>
    <w:rsid w:val="00D42245"/>
    <w:rsid w:val="00D422C2"/>
    <w:rsid w:val="00D4256C"/>
    <w:rsid w:val="00D4262C"/>
    <w:rsid w:val="00D426E4"/>
    <w:rsid w:val="00D42772"/>
    <w:rsid w:val="00D42AEA"/>
    <w:rsid w:val="00D43103"/>
    <w:rsid w:val="00D43A1A"/>
    <w:rsid w:val="00D448A3"/>
    <w:rsid w:val="00D44946"/>
    <w:rsid w:val="00D4498D"/>
    <w:rsid w:val="00D4527C"/>
    <w:rsid w:val="00D45383"/>
    <w:rsid w:val="00D45581"/>
    <w:rsid w:val="00D4611C"/>
    <w:rsid w:val="00D466B0"/>
    <w:rsid w:val="00D466DE"/>
    <w:rsid w:val="00D467C3"/>
    <w:rsid w:val="00D46A1C"/>
    <w:rsid w:val="00D46BB4"/>
    <w:rsid w:val="00D47B13"/>
    <w:rsid w:val="00D50037"/>
    <w:rsid w:val="00D50338"/>
    <w:rsid w:val="00D5040A"/>
    <w:rsid w:val="00D50A11"/>
    <w:rsid w:val="00D5114F"/>
    <w:rsid w:val="00D5128E"/>
    <w:rsid w:val="00D514F3"/>
    <w:rsid w:val="00D5158E"/>
    <w:rsid w:val="00D52103"/>
    <w:rsid w:val="00D52837"/>
    <w:rsid w:val="00D52E0A"/>
    <w:rsid w:val="00D530FA"/>
    <w:rsid w:val="00D53448"/>
    <w:rsid w:val="00D5367F"/>
    <w:rsid w:val="00D53A18"/>
    <w:rsid w:val="00D53B13"/>
    <w:rsid w:val="00D53B61"/>
    <w:rsid w:val="00D53BA1"/>
    <w:rsid w:val="00D54209"/>
    <w:rsid w:val="00D544B1"/>
    <w:rsid w:val="00D545DA"/>
    <w:rsid w:val="00D55029"/>
    <w:rsid w:val="00D55696"/>
    <w:rsid w:val="00D5581B"/>
    <w:rsid w:val="00D55CC6"/>
    <w:rsid w:val="00D55FEB"/>
    <w:rsid w:val="00D569A8"/>
    <w:rsid w:val="00D57571"/>
    <w:rsid w:val="00D60FB5"/>
    <w:rsid w:val="00D61FF0"/>
    <w:rsid w:val="00D62862"/>
    <w:rsid w:val="00D628B8"/>
    <w:rsid w:val="00D62C4E"/>
    <w:rsid w:val="00D62E21"/>
    <w:rsid w:val="00D62FCC"/>
    <w:rsid w:val="00D63206"/>
    <w:rsid w:val="00D63A3D"/>
    <w:rsid w:val="00D63AFB"/>
    <w:rsid w:val="00D63C8D"/>
    <w:rsid w:val="00D6476E"/>
    <w:rsid w:val="00D64940"/>
    <w:rsid w:val="00D64CD6"/>
    <w:rsid w:val="00D64D48"/>
    <w:rsid w:val="00D64E26"/>
    <w:rsid w:val="00D652AF"/>
    <w:rsid w:val="00D659F3"/>
    <w:rsid w:val="00D65ECD"/>
    <w:rsid w:val="00D66067"/>
    <w:rsid w:val="00D667FE"/>
    <w:rsid w:val="00D669A7"/>
    <w:rsid w:val="00D66E68"/>
    <w:rsid w:val="00D66F99"/>
    <w:rsid w:val="00D70766"/>
    <w:rsid w:val="00D70993"/>
    <w:rsid w:val="00D70F27"/>
    <w:rsid w:val="00D712B7"/>
    <w:rsid w:val="00D71337"/>
    <w:rsid w:val="00D71DF2"/>
    <w:rsid w:val="00D71FD4"/>
    <w:rsid w:val="00D7249C"/>
    <w:rsid w:val="00D72902"/>
    <w:rsid w:val="00D72AB7"/>
    <w:rsid w:val="00D72BBD"/>
    <w:rsid w:val="00D7333E"/>
    <w:rsid w:val="00D73548"/>
    <w:rsid w:val="00D7356D"/>
    <w:rsid w:val="00D741E6"/>
    <w:rsid w:val="00D74231"/>
    <w:rsid w:val="00D743FB"/>
    <w:rsid w:val="00D74C3C"/>
    <w:rsid w:val="00D74C65"/>
    <w:rsid w:val="00D74C78"/>
    <w:rsid w:val="00D74E67"/>
    <w:rsid w:val="00D7634D"/>
    <w:rsid w:val="00D76423"/>
    <w:rsid w:val="00D7656E"/>
    <w:rsid w:val="00D76708"/>
    <w:rsid w:val="00D76D0F"/>
    <w:rsid w:val="00D76DBB"/>
    <w:rsid w:val="00D77B83"/>
    <w:rsid w:val="00D80A90"/>
    <w:rsid w:val="00D81406"/>
    <w:rsid w:val="00D819CC"/>
    <w:rsid w:val="00D81C1A"/>
    <w:rsid w:val="00D8245B"/>
    <w:rsid w:val="00D824C4"/>
    <w:rsid w:val="00D825E1"/>
    <w:rsid w:val="00D82EFC"/>
    <w:rsid w:val="00D83071"/>
    <w:rsid w:val="00D83273"/>
    <w:rsid w:val="00D832D4"/>
    <w:rsid w:val="00D838B6"/>
    <w:rsid w:val="00D83A0D"/>
    <w:rsid w:val="00D83A93"/>
    <w:rsid w:val="00D83CAA"/>
    <w:rsid w:val="00D8443F"/>
    <w:rsid w:val="00D8471C"/>
    <w:rsid w:val="00D84959"/>
    <w:rsid w:val="00D84DFB"/>
    <w:rsid w:val="00D85079"/>
    <w:rsid w:val="00D851A9"/>
    <w:rsid w:val="00D853D5"/>
    <w:rsid w:val="00D8547B"/>
    <w:rsid w:val="00D85DB7"/>
    <w:rsid w:val="00D861C5"/>
    <w:rsid w:val="00D86382"/>
    <w:rsid w:val="00D868AF"/>
    <w:rsid w:val="00D86957"/>
    <w:rsid w:val="00D8716F"/>
    <w:rsid w:val="00D87AE3"/>
    <w:rsid w:val="00D87BD2"/>
    <w:rsid w:val="00D87CB4"/>
    <w:rsid w:val="00D87DDD"/>
    <w:rsid w:val="00D90766"/>
    <w:rsid w:val="00D90781"/>
    <w:rsid w:val="00D907EC"/>
    <w:rsid w:val="00D90870"/>
    <w:rsid w:val="00D90CB2"/>
    <w:rsid w:val="00D90E3D"/>
    <w:rsid w:val="00D90E93"/>
    <w:rsid w:val="00D9101C"/>
    <w:rsid w:val="00D9176B"/>
    <w:rsid w:val="00D91BF4"/>
    <w:rsid w:val="00D927E7"/>
    <w:rsid w:val="00D92FD0"/>
    <w:rsid w:val="00D9318C"/>
    <w:rsid w:val="00D9354A"/>
    <w:rsid w:val="00D93963"/>
    <w:rsid w:val="00D948AA"/>
    <w:rsid w:val="00D94914"/>
    <w:rsid w:val="00D9583E"/>
    <w:rsid w:val="00D95D70"/>
    <w:rsid w:val="00D95DE2"/>
    <w:rsid w:val="00D962DC"/>
    <w:rsid w:val="00D9661B"/>
    <w:rsid w:val="00D96D01"/>
    <w:rsid w:val="00D9725E"/>
    <w:rsid w:val="00D97488"/>
    <w:rsid w:val="00D9757C"/>
    <w:rsid w:val="00D9788F"/>
    <w:rsid w:val="00D97A17"/>
    <w:rsid w:val="00D97D26"/>
    <w:rsid w:val="00D97EE9"/>
    <w:rsid w:val="00DA0025"/>
    <w:rsid w:val="00DA0D89"/>
    <w:rsid w:val="00DA0E20"/>
    <w:rsid w:val="00DA0FBC"/>
    <w:rsid w:val="00DA13B8"/>
    <w:rsid w:val="00DA13DA"/>
    <w:rsid w:val="00DA15CC"/>
    <w:rsid w:val="00DA1C63"/>
    <w:rsid w:val="00DA1DD5"/>
    <w:rsid w:val="00DA20DE"/>
    <w:rsid w:val="00DA29C0"/>
    <w:rsid w:val="00DA2AF9"/>
    <w:rsid w:val="00DA30D2"/>
    <w:rsid w:val="00DA3559"/>
    <w:rsid w:val="00DA35AC"/>
    <w:rsid w:val="00DA3637"/>
    <w:rsid w:val="00DA37F6"/>
    <w:rsid w:val="00DA3875"/>
    <w:rsid w:val="00DA3CA5"/>
    <w:rsid w:val="00DA4AEB"/>
    <w:rsid w:val="00DA582F"/>
    <w:rsid w:val="00DA5AAE"/>
    <w:rsid w:val="00DA5F16"/>
    <w:rsid w:val="00DA5F6D"/>
    <w:rsid w:val="00DA61D1"/>
    <w:rsid w:val="00DA644A"/>
    <w:rsid w:val="00DA6843"/>
    <w:rsid w:val="00DA689F"/>
    <w:rsid w:val="00DA68B5"/>
    <w:rsid w:val="00DA70D8"/>
    <w:rsid w:val="00DA710F"/>
    <w:rsid w:val="00DA7E9B"/>
    <w:rsid w:val="00DB0287"/>
    <w:rsid w:val="00DB09EC"/>
    <w:rsid w:val="00DB0D9E"/>
    <w:rsid w:val="00DB13D1"/>
    <w:rsid w:val="00DB1430"/>
    <w:rsid w:val="00DB173C"/>
    <w:rsid w:val="00DB1EA9"/>
    <w:rsid w:val="00DB2066"/>
    <w:rsid w:val="00DB26F1"/>
    <w:rsid w:val="00DB2815"/>
    <w:rsid w:val="00DB2B80"/>
    <w:rsid w:val="00DB3130"/>
    <w:rsid w:val="00DB37CC"/>
    <w:rsid w:val="00DB38E6"/>
    <w:rsid w:val="00DB449E"/>
    <w:rsid w:val="00DB457A"/>
    <w:rsid w:val="00DB4F40"/>
    <w:rsid w:val="00DB5A00"/>
    <w:rsid w:val="00DB61EE"/>
    <w:rsid w:val="00DB6C13"/>
    <w:rsid w:val="00DB7279"/>
    <w:rsid w:val="00DB74D0"/>
    <w:rsid w:val="00DB7B52"/>
    <w:rsid w:val="00DB7C4C"/>
    <w:rsid w:val="00DC0127"/>
    <w:rsid w:val="00DC016B"/>
    <w:rsid w:val="00DC01D8"/>
    <w:rsid w:val="00DC0436"/>
    <w:rsid w:val="00DC05CC"/>
    <w:rsid w:val="00DC1005"/>
    <w:rsid w:val="00DC1536"/>
    <w:rsid w:val="00DC191A"/>
    <w:rsid w:val="00DC1947"/>
    <w:rsid w:val="00DC1A4B"/>
    <w:rsid w:val="00DC215C"/>
    <w:rsid w:val="00DC25B4"/>
    <w:rsid w:val="00DC277E"/>
    <w:rsid w:val="00DC27FF"/>
    <w:rsid w:val="00DC298F"/>
    <w:rsid w:val="00DC2FA2"/>
    <w:rsid w:val="00DC3B5D"/>
    <w:rsid w:val="00DC42E7"/>
    <w:rsid w:val="00DC4456"/>
    <w:rsid w:val="00DC44A5"/>
    <w:rsid w:val="00DC4C40"/>
    <w:rsid w:val="00DC4D6C"/>
    <w:rsid w:val="00DC5349"/>
    <w:rsid w:val="00DC5697"/>
    <w:rsid w:val="00DC69AD"/>
    <w:rsid w:val="00DC6A2A"/>
    <w:rsid w:val="00DC6B1C"/>
    <w:rsid w:val="00DC7FF6"/>
    <w:rsid w:val="00DD0431"/>
    <w:rsid w:val="00DD04F8"/>
    <w:rsid w:val="00DD07A6"/>
    <w:rsid w:val="00DD1568"/>
    <w:rsid w:val="00DD17A2"/>
    <w:rsid w:val="00DD1A74"/>
    <w:rsid w:val="00DD24C8"/>
    <w:rsid w:val="00DD26E6"/>
    <w:rsid w:val="00DD3206"/>
    <w:rsid w:val="00DD34EE"/>
    <w:rsid w:val="00DD38B7"/>
    <w:rsid w:val="00DD4152"/>
    <w:rsid w:val="00DD45EE"/>
    <w:rsid w:val="00DD466F"/>
    <w:rsid w:val="00DD47B6"/>
    <w:rsid w:val="00DD4E5C"/>
    <w:rsid w:val="00DD4E89"/>
    <w:rsid w:val="00DD4EE0"/>
    <w:rsid w:val="00DD5723"/>
    <w:rsid w:val="00DD5A65"/>
    <w:rsid w:val="00DD612C"/>
    <w:rsid w:val="00DD64F5"/>
    <w:rsid w:val="00DD6AE6"/>
    <w:rsid w:val="00DD6DCE"/>
    <w:rsid w:val="00DD6F3A"/>
    <w:rsid w:val="00DD6F88"/>
    <w:rsid w:val="00DD79BC"/>
    <w:rsid w:val="00DD7D77"/>
    <w:rsid w:val="00DE0A24"/>
    <w:rsid w:val="00DE0E6D"/>
    <w:rsid w:val="00DE0EEF"/>
    <w:rsid w:val="00DE1193"/>
    <w:rsid w:val="00DE1557"/>
    <w:rsid w:val="00DE261B"/>
    <w:rsid w:val="00DE283E"/>
    <w:rsid w:val="00DE2BDF"/>
    <w:rsid w:val="00DE2CF6"/>
    <w:rsid w:val="00DE2EB3"/>
    <w:rsid w:val="00DE2FDA"/>
    <w:rsid w:val="00DE3167"/>
    <w:rsid w:val="00DE34F3"/>
    <w:rsid w:val="00DE399A"/>
    <w:rsid w:val="00DE40CE"/>
    <w:rsid w:val="00DE40FF"/>
    <w:rsid w:val="00DE4153"/>
    <w:rsid w:val="00DE42D3"/>
    <w:rsid w:val="00DE437E"/>
    <w:rsid w:val="00DE43DF"/>
    <w:rsid w:val="00DE4DCB"/>
    <w:rsid w:val="00DE510D"/>
    <w:rsid w:val="00DE523F"/>
    <w:rsid w:val="00DE5379"/>
    <w:rsid w:val="00DE5DD7"/>
    <w:rsid w:val="00DE637D"/>
    <w:rsid w:val="00DE6739"/>
    <w:rsid w:val="00DE673B"/>
    <w:rsid w:val="00DE69C2"/>
    <w:rsid w:val="00DE7449"/>
    <w:rsid w:val="00DE7483"/>
    <w:rsid w:val="00DE7802"/>
    <w:rsid w:val="00DE78B9"/>
    <w:rsid w:val="00DF03AF"/>
    <w:rsid w:val="00DF084B"/>
    <w:rsid w:val="00DF0AF7"/>
    <w:rsid w:val="00DF0C1B"/>
    <w:rsid w:val="00DF1A68"/>
    <w:rsid w:val="00DF1F93"/>
    <w:rsid w:val="00DF23E8"/>
    <w:rsid w:val="00DF30DC"/>
    <w:rsid w:val="00DF3636"/>
    <w:rsid w:val="00DF3682"/>
    <w:rsid w:val="00DF45AE"/>
    <w:rsid w:val="00DF4AF5"/>
    <w:rsid w:val="00DF4F50"/>
    <w:rsid w:val="00DF513A"/>
    <w:rsid w:val="00DF555C"/>
    <w:rsid w:val="00DF5654"/>
    <w:rsid w:val="00DF5664"/>
    <w:rsid w:val="00DF56AF"/>
    <w:rsid w:val="00DF56D3"/>
    <w:rsid w:val="00DF6708"/>
    <w:rsid w:val="00DF6795"/>
    <w:rsid w:val="00DF69FF"/>
    <w:rsid w:val="00DF6BD0"/>
    <w:rsid w:val="00DF762B"/>
    <w:rsid w:val="00DF7BE5"/>
    <w:rsid w:val="00DF7CCE"/>
    <w:rsid w:val="00E0021D"/>
    <w:rsid w:val="00E00A5D"/>
    <w:rsid w:val="00E0153C"/>
    <w:rsid w:val="00E01560"/>
    <w:rsid w:val="00E01B44"/>
    <w:rsid w:val="00E01E71"/>
    <w:rsid w:val="00E0238B"/>
    <w:rsid w:val="00E027A3"/>
    <w:rsid w:val="00E040C2"/>
    <w:rsid w:val="00E043CF"/>
    <w:rsid w:val="00E0459E"/>
    <w:rsid w:val="00E05193"/>
    <w:rsid w:val="00E05DA1"/>
    <w:rsid w:val="00E06103"/>
    <w:rsid w:val="00E06473"/>
    <w:rsid w:val="00E06919"/>
    <w:rsid w:val="00E06C4A"/>
    <w:rsid w:val="00E06D04"/>
    <w:rsid w:val="00E07072"/>
    <w:rsid w:val="00E07237"/>
    <w:rsid w:val="00E07629"/>
    <w:rsid w:val="00E10223"/>
    <w:rsid w:val="00E10682"/>
    <w:rsid w:val="00E106AA"/>
    <w:rsid w:val="00E10A08"/>
    <w:rsid w:val="00E115D1"/>
    <w:rsid w:val="00E115F7"/>
    <w:rsid w:val="00E11F29"/>
    <w:rsid w:val="00E12068"/>
    <w:rsid w:val="00E1209E"/>
    <w:rsid w:val="00E124D5"/>
    <w:rsid w:val="00E12674"/>
    <w:rsid w:val="00E127E4"/>
    <w:rsid w:val="00E1298B"/>
    <w:rsid w:val="00E12BC6"/>
    <w:rsid w:val="00E13431"/>
    <w:rsid w:val="00E138AF"/>
    <w:rsid w:val="00E13922"/>
    <w:rsid w:val="00E143C0"/>
    <w:rsid w:val="00E14568"/>
    <w:rsid w:val="00E14C96"/>
    <w:rsid w:val="00E15407"/>
    <w:rsid w:val="00E15AE3"/>
    <w:rsid w:val="00E15F67"/>
    <w:rsid w:val="00E1618C"/>
    <w:rsid w:val="00E16225"/>
    <w:rsid w:val="00E16275"/>
    <w:rsid w:val="00E1639A"/>
    <w:rsid w:val="00E163FB"/>
    <w:rsid w:val="00E170FA"/>
    <w:rsid w:val="00E1754B"/>
    <w:rsid w:val="00E17968"/>
    <w:rsid w:val="00E2007F"/>
    <w:rsid w:val="00E20160"/>
    <w:rsid w:val="00E20234"/>
    <w:rsid w:val="00E20452"/>
    <w:rsid w:val="00E20468"/>
    <w:rsid w:val="00E20BC2"/>
    <w:rsid w:val="00E220A7"/>
    <w:rsid w:val="00E22151"/>
    <w:rsid w:val="00E221DE"/>
    <w:rsid w:val="00E22373"/>
    <w:rsid w:val="00E22A80"/>
    <w:rsid w:val="00E22DCE"/>
    <w:rsid w:val="00E23136"/>
    <w:rsid w:val="00E23DAE"/>
    <w:rsid w:val="00E23E62"/>
    <w:rsid w:val="00E23EE6"/>
    <w:rsid w:val="00E24229"/>
    <w:rsid w:val="00E24517"/>
    <w:rsid w:val="00E249D2"/>
    <w:rsid w:val="00E24A72"/>
    <w:rsid w:val="00E24B68"/>
    <w:rsid w:val="00E25425"/>
    <w:rsid w:val="00E25954"/>
    <w:rsid w:val="00E25A7D"/>
    <w:rsid w:val="00E25DA6"/>
    <w:rsid w:val="00E2614A"/>
    <w:rsid w:val="00E26155"/>
    <w:rsid w:val="00E261AD"/>
    <w:rsid w:val="00E2658E"/>
    <w:rsid w:val="00E266D6"/>
    <w:rsid w:val="00E2672B"/>
    <w:rsid w:val="00E26B59"/>
    <w:rsid w:val="00E26D75"/>
    <w:rsid w:val="00E26E4D"/>
    <w:rsid w:val="00E2730E"/>
    <w:rsid w:val="00E2782D"/>
    <w:rsid w:val="00E30176"/>
    <w:rsid w:val="00E301EF"/>
    <w:rsid w:val="00E301FE"/>
    <w:rsid w:val="00E309A6"/>
    <w:rsid w:val="00E317FA"/>
    <w:rsid w:val="00E3188A"/>
    <w:rsid w:val="00E31920"/>
    <w:rsid w:val="00E31972"/>
    <w:rsid w:val="00E32682"/>
    <w:rsid w:val="00E32A33"/>
    <w:rsid w:val="00E32E67"/>
    <w:rsid w:val="00E3323A"/>
    <w:rsid w:val="00E33247"/>
    <w:rsid w:val="00E33B17"/>
    <w:rsid w:val="00E34663"/>
    <w:rsid w:val="00E34965"/>
    <w:rsid w:val="00E34A96"/>
    <w:rsid w:val="00E34C46"/>
    <w:rsid w:val="00E34E7D"/>
    <w:rsid w:val="00E34EFC"/>
    <w:rsid w:val="00E35510"/>
    <w:rsid w:val="00E355CC"/>
    <w:rsid w:val="00E3687E"/>
    <w:rsid w:val="00E3731B"/>
    <w:rsid w:val="00E37E6B"/>
    <w:rsid w:val="00E400B5"/>
    <w:rsid w:val="00E401F9"/>
    <w:rsid w:val="00E40718"/>
    <w:rsid w:val="00E41672"/>
    <w:rsid w:val="00E42115"/>
    <w:rsid w:val="00E422AA"/>
    <w:rsid w:val="00E4243F"/>
    <w:rsid w:val="00E42A18"/>
    <w:rsid w:val="00E42E06"/>
    <w:rsid w:val="00E42F40"/>
    <w:rsid w:val="00E43074"/>
    <w:rsid w:val="00E43179"/>
    <w:rsid w:val="00E43CA1"/>
    <w:rsid w:val="00E43E94"/>
    <w:rsid w:val="00E44854"/>
    <w:rsid w:val="00E44AC1"/>
    <w:rsid w:val="00E44D1C"/>
    <w:rsid w:val="00E452D0"/>
    <w:rsid w:val="00E454A1"/>
    <w:rsid w:val="00E45A02"/>
    <w:rsid w:val="00E45B82"/>
    <w:rsid w:val="00E462A8"/>
    <w:rsid w:val="00E46588"/>
    <w:rsid w:val="00E469EF"/>
    <w:rsid w:val="00E470C1"/>
    <w:rsid w:val="00E475BC"/>
    <w:rsid w:val="00E47622"/>
    <w:rsid w:val="00E5000A"/>
    <w:rsid w:val="00E50424"/>
    <w:rsid w:val="00E50727"/>
    <w:rsid w:val="00E50783"/>
    <w:rsid w:val="00E50B8E"/>
    <w:rsid w:val="00E512F8"/>
    <w:rsid w:val="00E515E1"/>
    <w:rsid w:val="00E51E49"/>
    <w:rsid w:val="00E521CA"/>
    <w:rsid w:val="00E5234A"/>
    <w:rsid w:val="00E5268E"/>
    <w:rsid w:val="00E52B39"/>
    <w:rsid w:val="00E52B5D"/>
    <w:rsid w:val="00E52BAC"/>
    <w:rsid w:val="00E52D31"/>
    <w:rsid w:val="00E52DCC"/>
    <w:rsid w:val="00E52E40"/>
    <w:rsid w:val="00E52E74"/>
    <w:rsid w:val="00E52E76"/>
    <w:rsid w:val="00E5400A"/>
    <w:rsid w:val="00E544DA"/>
    <w:rsid w:val="00E54882"/>
    <w:rsid w:val="00E5490B"/>
    <w:rsid w:val="00E54912"/>
    <w:rsid w:val="00E54DD2"/>
    <w:rsid w:val="00E55EF2"/>
    <w:rsid w:val="00E56A94"/>
    <w:rsid w:val="00E56B89"/>
    <w:rsid w:val="00E56D60"/>
    <w:rsid w:val="00E57EAA"/>
    <w:rsid w:val="00E57F09"/>
    <w:rsid w:val="00E60409"/>
    <w:rsid w:val="00E60458"/>
    <w:rsid w:val="00E6094E"/>
    <w:rsid w:val="00E60C92"/>
    <w:rsid w:val="00E60EE8"/>
    <w:rsid w:val="00E61B4C"/>
    <w:rsid w:val="00E61EA9"/>
    <w:rsid w:val="00E62121"/>
    <w:rsid w:val="00E6227B"/>
    <w:rsid w:val="00E6229E"/>
    <w:rsid w:val="00E625D4"/>
    <w:rsid w:val="00E62D72"/>
    <w:rsid w:val="00E62DDF"/>
    <w:rsid w:val="00E630D5"/>
    <w:rsid w:val="00E631F1"/>
    <w:rsid w:val="00E63E5B"/>
    <w:rsid w:val="00E64735"/>
    <w:rsid w:val="00E649F4"/>
    <w:rsid w:val="00E64D61"/>
    <w:rsid w:val="00E656FD"/>
    <w:rsid w:val="00E657EC"/>
    <w:rsid w:val="00E65D1E"/>
    <w:rsid w:val="00E66160"/>
    <w:rsid w:val="00E66461"/>
    <w:rsid w:val="00E66CB6"/>
    <w:rsid w:val="00E6722F"/>
    <w:rsid w:val="00E675A5"/>
    <w:rsid w:val="00E676FD"/>
    <w:rsid w:val="00E67918"/>
    <w:rsid w:val="00E679C0"/>
    <w:rsid w:val="00E67C2A"/>
    <w:rsid w:val="00E67E68"/>
    <w:rsid w:val="00E700D3"/>
    <w:rsid w:val="00E70BB5"/>
    <w:rsid w:val="00E71062"/>
    <w:rsid w:val="00E713C1"/>
    <w:rsid w:val="00E714D1"/>
    <w:rsid w:val="00E7166E"/>
    <w:rsid w:val="00E719D7"/>
    <w:rsid w:val="00E71DB6"/>
    <w:rsid w:val="00E7210F"/>
    <w:rsid w:val="00E725FD"/>
    <w:rsid w:val="00E73282"/>
    <w:rsid w:val="00E733E9"/>
    <w:rsid w:val="00E7357D"/>
    <w:rsid w:val="00E73B9A"/>
    <w:rsid w:val="00E749B7"/>
    <w:rsid w:val="00E749C9"/>
    <w:rsid w:val="00E750F0"/>
    <w:rsid w:val="00E7544D"/>
    <w:rsid w:val="00E75A47"/>
    <w:rsid w:val="00E75FBE"/>
    <w:rsid w:val="00E76B86"/>
    <w:rsid w:val="00E803C6"/>
    <w:rsid w:val="00E80706"/>
    <w:rsid w:val="00E80FDF"/>
    <w:rsid w:val="00E81A16"/>
    <w:rsid w:val="00E81BE7"/>
    <w:rsid w:val="00E81F33"/>
    <w:rsid w:val="00E82133"/>
    <w:rsid w:val="00E82FC5"/>
    <w:rsid w:val="00E83218"/>
    <w:rsid w:val="00E8321B"/>
    <w:rsid w:val="00E83220"/>
    <w:rsid w:val="00E8342D"/>
    <w:rsid w:val="00E837CE"/>
    <w:rsid w:val="00E843C2"/>
    <w:rsid w:val="00E844CB"/>
    <w:rsid w:val="00E849B3"/>
    <w:rsid w:val="00E84A85"/>
    <w:rsid w:val="00E8508E"/>
    <w:rsid w:val="00E851CA"/>
    <w:rsid w:val="00E85A25"/>
    <w:rsid w:val="00E8677B"/>
    <w:rsid w:val="00E86B01"/>
    <w:rsid w:val="00E8740A"/>
    <w:rsid w:val="00E875A7"/>
    <w:rsid w:val="00E8781E"/>
    <w:rsid w:val="00E87E73"/>
    <w:rsid w:val="00E9024D"/>
    <w:rsid w:val="00E902A1"/>
    <w:rsid w:val="00E903CC"/>
    <w:rsid w:val="00E904CD"/>
    <w:rsid w:val="00E90883"/>
    <w:rsid w:val="00E90AF5"/>
    <w:rsid w:val="00E90DFD"/>
    <w:rsid w:val="00E9113F"/>
    <w:rsid w:val="00E917BF"/>
    <w:rsid w:val="00E91EA6"/>
    <w:rsid w:val="00E92A90"/>
    <w:rsid w:val="00E942DC"/>
    <w:rsid w:val="00E94403"/>
    <w:rsid w:val="00E94C61"/>
    <w:rsid w:val="00E94E70"/>
    <w:rsid w:val="00E953EC"/>
    <w:rsid w:val="00E95CD1"/>
    <w:rsid w:val="00E969E0"/>
    <w:rsid w:val="00E96FCB"/>
    <w:rsid w:val="00E9702C"/>
    <w:rsid w:val="00E97C57"/>
    <w:rsid w:val="00E97E3E"/>
    <w:rsid w:val="00EA079F"/>
    <w:rsid w:val="00EA0BC0"/>
    <w:rsid w:val="00EA100C"/>
    <w:rsid w:val="00EA10C3"/>
    <w:rsid w:val="00EA10F9"/>
    <w:rsid w:val="00EA1173"/>
    <w:rsid w:val="00EA16B2"/>
    <w:rsid w:val="00EA1723"/>
    <w:rsid w:val="00EA1E6D"/>
    <w:rsid w:val="00EA1F80"/>
    <w:rsid w:val="00EA22FF"/>
    <w:rsid w:val="00EA238A"/>
    <w:rsid w:val="00EA24A8"/>
    <w:rsid w:val="00EA26F6"/>
    <w:rsid w:val="00EA2F03"/>
    <w:rsid w:val="00EA322B"/>
    <w:rsid w:val="00EA366E"/>
    <w:rsid w:val="00EA393F"/>
    <w:rsid w:val="00EA3D62"/>
    <w:rsid w:val="00EA3DCD"/>
    <w:rsid w:val="00EA4A37"/>
    <w:rsid w:val="00EA4A78"/>
    <w:rsid w:val="00EA4AE1"/>
    <w:rsid w:val="00EA4E87"/>
    <w:rsid w:val="00EA5101"/>
    <w:rsid w:val="00EA5207"/>
    <w:rsid w:val="00EA567A"/>
    <w:rsid w:val="00EA5E67"/>
    <w:rsid w:val="00EA6618"/>
    <w:rsid w:val="00EA661B"/>
    <w:rsid w:val="00EB0593"/>
    <w:rsid w:val="00EB0B87"/>
    <w:rsid w:val="00EB0D61"/>
    <w:rsid w:val="00EB0EE6"/>
    <w:rsid w:val="00EB1028"/>
    <w:rsid w:val="00EB149E"/>
    <w:rsid w:val="00EB2130"/>
    <w:rsid w:val="00EB2780"/>
    <w:rsid w:val="00EB2D03"/>
    <w:rsid w:val="00EB31ED"/>
    <w:rsid w:val="00EB34DF"/>
    <w:rsid w:val="00EB4BC6"/>
    <w:rsid w:val="00EB5450"/>
    <w:rsid w:val="00EB5D75"/>
    <w:rsid w:val="00EB7194"/>
    <w:rsid w:val="00EB72E3"/>
    <w:rsid w:val="00EB75E6"/>
    <w:rsid w:val="00EB7BFF"/>
    <w:rsid w:val="00EB7CDC"/>
    <w:rsid w:val="00EB7F65"/>
    <w:rsid w:val="00EB7FDF"/>
    <w:rsid w:val="00EC0035"/>
    <w:rsid w:val="00EC07F1"/>
    <w:rsid w:val="00EC0D8D"/>
    <w:rsid w:val="00EC199C"/>
    <w:rsid w:val="00EC1CA4"/>
    <w:rsid w:val="00EC22DE"/>
    <w:rsid w:val="00EC23F0"/>
    <w:rsid w:val="00EC242E"/>
    <w:rsid w:val="00EC25D2"/>
    <w:rsid w:val="00EC2609"/>
    <w:rsid w:val="00EC2613"/>
    <w:rsid w:val="00EC2B3E"/>
    <w:rsid w:val="00EC2D75"/>
    <w:rsid w:val="00EC2E7D"/>
    <w:rsid w:val="00EC3603"/>
    <w:rsid w:val="00EC3DD7"/>
    <w:rsid w:val="00EC42FC"/>
    <w:rsid w:val="00EC4D5B"/>
    <w:rsid w:val="00EC5655"/>
    <w:rsid w:val="00EC5A99"/>
    <w:rsid w:val="00EC5C68"/>
    <w:rsid w:val="00EC5E29"/>
    <w:rsid w:val="00EC6467"/>
    <w:rsid w:val="00EC6688"/>
    <w:rsid w:val="00EC7046"/>
    <w:rsid w:val="00EC7BBA"/>
    <w:rsid w:val="00ED02BD"/>
    <w:rsid w:val="00ED0403"/>
    <w:rsid w:val="00ED06AA"/>
    <w:rsid w:val="00ED0B5A"/>
    <w:rsid w:val="00ED0D7B"/>
    <w:rsid w:val="00ED138F"/>
    <w:rsid w:val="00ED14E1"/>
    <w:rsid w:val="00ED177E"/>
    <w:rsid w:val="00ED2058"/>
    <w:rsid w:val="00ED240C"/>
    <w:rsid w:val="00ED2B2B"/>
    <w:rsid w:val="00ED30CF"/>
    <w:rsid w:val="00ED35B3"/>
    <w:rsid w:val="00ED3B99"/>
    <w:rsid w:val="00ED3D9E"/>
    <w:rsid w:val="00ED476E"/>
    <w:rsid w:val="00ED4798"/>
    <w:rsid w:val="00ED485C"/>
    <w:rsid w:val="00ED4D77"/>
    <w:rsid w:val="00ED510D"/>
    <w:rsid w:val="00ED51EE"/>
    <w:rsid w:val="00ED53C4"/>
    <w:rsid w:val="00ED5DA6"/>
    <w:rsid w:val="00ED6133"/>
    <w:rsid w:val="00ED61A4"/>
    <w:rsid w:val="00ED6C43"/>
    <w:rsid w:val="00ED6CA6"/>
    <w:rsid w:val="00ED7208"/>
    <w:rsid w:val="00ED725B"/>
    <w:rsid w:val="00EE02BB"/>
    <w:rsid w:val="00EE193F"/>
    <w:rsid w:val="00EE21FA"/>
    <w:rsid w:val="00EE268C"/>
    <w:rsid w:val="00EE2B8E"/>
    <w:rsid w:val="00EE2EAF"/>
    <w:rsid w:val="00EE30C7"/>
    <w:rsid w:val="00EE323C"/>
    <w:rsid w:val="00EE3CF1"/>
    <w:rsid w:val="00EE3D29"/>
    <w:rsid w:val="00EE3FE5"/>
    <w:rsid w:val="00EE4326"/>
    <w:rsid w:val="00EE464D"/>
    <w:rsid w:val="00EE4F87"/>
    <w:rsid w:val="00EE507D"/>
    <w:rsid w:val="00EE52F7"/>
    <w:rsid w:val="00EE5365"/>
    <w:rsid w:val="00EE54BA"/>
    <w:rsid w:val="00EE5F4F"/>
    <w:rsid w:val="00EE604C"/>
    <w:rsid w:val="00EE64AC"/>
    <w:rsid w:val="00EE6AC0"/>
    <w:rsid w:val="00EE6E04"/>
    <w:rsid w:val="00EE6F82"/>
    <w:rsid w:val="00EE72D6"/>
    <w:rsid w:val="00EE74AB"/>
    <w:rsid w:val="00EE7900"/>
    <w:rsid w:val="00EE7BB2"/>
    <w:rsid w:val="00EF0A1C"/>
    <w:rsid w:val="00EF0C30"/>
    <w:rsid w:val="00EF1359"/>
    <w:rsid w:val="00EF1524"/>
    <w:rsid w:val="00EF164B"/>
    <w:rsid w:val="00EF1693"/>
    <w:rsid w:val="00EF1B08"/>
    <w:rsid w:val="00EF2069"/>
    <w:rsid w:val="00EF2082"/>
    <w:rsid w:val="00EF359A"/>
    <w:rsid w:val="00EF4162"/>
    <w:rsid w:val="00EF4231"/>
    <w:rsid w:val="00EF49D5"/>
    <w:rsid w:val="00EF4D81"/>
    <w:rsid w:val="00EF4D98"/>
    <w:rsid w:val="00EF4F62"/>
    <w:rsid w:val="00EF4FA8"/>
    <w:rsid w:val="00EF503A"/>
    <w:rsid w:val="00EF529D"/>
    <w:rsid w:val="00EF53BD"/>
    <w:rsid w:val="00EF548E"/>
    <w:rsid w:val="00EF5F5D"/>
    <w:rsid w:val="00EF60F9"/>
    <w:rsid w:val="00EF63F6"/>
    <w:rsid w:val="00EF6923"/>
    <w:rsid w:val="00EF7F2E"/>
    <w:rsid w:val="00EF7F62"/>
    <w:rsid w:val="00F00047"/>
    <w:rsid w:val="00F00583"/>
    <w:rsid w:val="00F00F26"/>
    <w:rsid w:val="00F01545"/>
    <w:rsid w:val="00F01606"/>
    <w:rsid w:val="00F017A0"/>
    <w:rsid w:val="00F018B4"/>
    <w:rsid w:val="00F01DB9"/>
    <w:rsid w:val="00F02032"/>
    <w:rsid w:val="00F02036"/>
    <w:rsid w:val="00F02C22"/>
    <w:rsid w:val="00F02D8C"/>
    <w:rsid w:val="00F02DBA"/>
    <w:rsid w:val="00F03017"/>
    <w:rsid w:val="00F0387C"/>
    <w:rsid w:val="00F04E49"/>
    <w:rsid w:val="00F05109"/>
    <w:rsid w:val="00F054E2"/>
    <w:rsid w:val="00F0592E"/>
    <w:rsid w:val="00F0596F"/>
    <w:rsid w:val="00F05B89"/>
    <w:rsid w:val="00F0654F"/>
    <w:rsid w:val="00F065EF"/>
    <w:rsid w:val="00F0680D"/>
    <w:rsid w:val="00F06AE9"/>
    <w:rsid w:val="00F06E4A"/>
    <w:rsid w:val="00F0711A"/>
    <w:rsid w:val="00F07628"/>
    <w:rsid w:val="00F07677"/>
    <w:rsid w:val="00F07695"/>
    <w:rsid w:val="00F07804"/>
    <w:rsid w:val="00F07A1A"/>
    <w:rsid w:val="00F07A6E"/>
    <w:rsid w:val="00F07BDA"/>
    <w:rsid w:val="00F1060A"/>
    <w:rsid w:val="00F10620"/>
    <w:rsid w:val="00F10769"/>
    <w:rsid w:val="00F107FF"/>
    <w:rsid w:val="00F10986"/>
    <w:rsid w:val="00F109DC"/>
    <w:rsid w:val="00F10DE8"/>
    <w:rsid w:val="00F118B8"/>
    <w:rsid w:val="00F11AC0"/>
    <w:rsid w:val="00F1225E"/>
    <w:rsid w:val="00F133EE"/>
    <w:rsid w:val="00F134A4"/>
    <w:rsid w:val="00F13A80"/>
    <w:rsid w:val="00F13B4B"/>
    <w:rsid w:val="00F13FB1"/>
    <w:rsid w:val="00F147A8"/>
    <w:rsid w:val="00F14B2D"/>
    <w:rsid w:val="00F14BFC"/>
    <w:rsid w:val="00F14D86"/>
    <w:rsid w:val="00F16175"/>
    <w:rsid w:val="00F16272"/>
    <w:rsid w:val="00F1686C"/>
    <w:rsid w:val="00F16A5E"/>
    <w:rsid w:val="00F16AB4"/>
    <w:rsid w:val="00F1726E"/>
    <w:rsid w:val="00F172C2"/>
    <w:rsid w:val="00F172DB"/>
    <w:rsid w:val="00F17478"/>
    <w:rsid w:val="00F17E48"/>
    <w:rsid w:val="00F2012E"/>
    <w:rsid w:val="00F20313"/>
    <w:rsid w:val="00F20361"/>
    <w:rsid w:val="00F2061D"/>
    <w:rsid w:val="00F20918"/>
    <w:rsid w:val="00F20B45"/>
    <w:rsid w:val="00F20C10"/>
    <w:rsid w:val="00F2119B"/>
    <w:rsid w:val="00F216E9"/>
    <w:rsid w:val="00F21987"/>
    <w:rsid w:val="00F21AEA"/>
    <w:rsid w:val="00F22006"/>
    <w:rsid w:val="00F22382"/>
    <w:rsid w:val="00F225D5"/>
    <w:rsid w:val="00F228E6"/>
    <w:rsid w:val="00F22A72"/>
    <w:rsid w:val="00F22C9A"/>
    <w:rsid w:val="00F22D38"/>
    <w:rsid w:val="00F22F46"/>
    <w:rsid w:val="00F23940"/>
    <w:rsid w:val="00F2406E"/>
    <w:rsid w:val="00F241FF"/>
    <w:rsid w:val="00F24C06"/>
    <w:rsid w:val="00F24FC0"/>
    <w:rsid w:val="00F251CC"/>
    <w:rsid w:val="00F254B1"/>
    <w:rsid w:val="00F25539"/>
    <w:rsid w:val="00F25666"/>
    <w:rsid w:val="00F256D7"/>
    <w:rsid w:val="00F25AA0"/>
    <w:rsid w:val="00F25EC9"/>
    <w:rsid w:val="00F263D6"/>
    <w:rsid w:val="00F26DCD"/>
    <w:rsid w:val="00F26E9D"/>
    <w:rsid w:val="00F26F28"/>
    <w:rsid w:val="00F27049"/>
    <w:rsid w:val="00F27497"/>
    <w:rsid w:val="00F30399"/>
    <w:rsid w:val="00F303C7"/>
    <w:rsid w:val="00F307F4"/>
    <w:rsid w:val="00F31A75"/>
    <w:rsid w:val="00F31B2E"/>
    <w:rsid w:val="00F31CDF"/>
    <w:rsid w:val="00F31D41"/>
    <w:rsid w:val="00F32E50"/>
    <w:rsid w:val="00F32EF9"/>
    <w:rsid w:val="00F3321F"/>
    <w:rsid w:val="00F33A86"/>
    <w:rsid w:val="00F33CD0"/>
    <w:rsid w:val="00F33ED9"/>
    <w:rsid w:val="00F342AA"/>
    <w:rsid w:val="00F34BC4"/>
    <w:rsid w:val="00F35401"/>
    <w:rsid w:val="00F354C5"/>
    <w:rsid w:val="00F356D4"/>
    <w:rsid w:val="00F35BDC"/>
    <w:rsid w:val="00F35D0D"/>
    <w:rsid w:val="00F35E42"/>
    <w:rsid w:val="00F36504"/>
    <w:rsid w:val="00F3676D"/>
    <w:rsid w:val="00F36BA2"/>
    <w:rsid w:val="00F37151"/>
    <w:rsid w:val="00F37DF9"/>
    <w:rsid w:val="00F40013"/>
    <w:rsid w:val="00F4026E"/>
    <w:rsid w:val="00F403B3"/>
    <w:rsid w:val="00F41568"/>
    <w:rsid w:val="00F41AD1"/>
    <w:rsid w:val="00F41BC8"/>
    <w:rsid w:val="00F41E27"/>
    <w:rsid w:val="00F41EB3"/>
    <w:rsid w:val="00F42589"/>
    <w:rsid w:val="00F43346"/>
    <w:rsid w:val="00F4336D"/>
    <w:rsid w:val="00F43896"/>
    <w:rsid w:val="00F446F2"/>
    <w:rsid w:val="00F448B0"/>
    <w:rsid w:val="00F45046"/>
    <w:rsid w:val="00F458F3"/>
    <w:rsid w:val="00F45B98"/>
    <w:rsid w:val="00F45FDA"/>
    <w:rsid w:val="00F46C86"/>
    <w:rsid w:val="00F46EA9"/>
    <w:rsid w:val="00F46EF9"/>
    <w:rsid w:val="00F47342"/>
    <w:rsid w:val="00F47863"/>
    <w:rsid w:val="00F47FDF"/>
    <w:rsid w:val="00F50757"/>
    <w:rsid w:val="00F50950"/>
    <w:rsid w:val="00F50A44"/>
    <w:rsid w:val="00F50CD6"/>
    <w:rsid w:val="00F51031"/>
    <w:rsid w:val="00F51894"/>
    <w:rsid w:val="00F527EB"/>
    <w:rsid w:val="00F52B4F"/>
    <w:rsid w:val="00F52DD2"/>
    <w:rsid w:val="00F53119"/>
    <w:rsid w:val="00F534A5"/>
    <w:rsid w:val="00F53F76"/>
    <w:rsid w:val="00F53FB9"/>
    <w:rsid w:val="00F54B7C"/>
    <w:rsid w:val="00F54B87"/>
    <w:rsid w:val="00F54DFC"/>
    <w:rsid w:val="00F553BA"/>
    <w:rsid w:val="00F55494"/>
    <w:rsid w:val="00F55710"/>
    <w:rsid w:val="00F55762"/>
    <w:rsid w:val="00F55A8A"/>
    <w:rsid w:val="00F55AB3"/>
    <w:rsid w:val="00F55ACC"/>
    <w:rsid w:val="00F56D1C"/>
    <w:rsid w:val="00F571F2"/>
    <w:rsid w:val="00F575F3"/>
    <w:rsid w:val="00F57FF3"/>
    <w:rsid w:val="00F610A6"/>
    <w:rsid w:val="00F61289"/>
    <w:rsid w:val="00F61EFA"/>
    <w:rsid w:val="00F625DB"/>
    <w:rsid w:val="00F62A9D"/>
    <w:rsid w:val="00F62B0B"/>
    <w:rsid w:val="00F62D05"/>
    <w:rsid w:val="00F6314A"/>
    <w:rsid w:val="00F6381C"/>
    <w:rsid w:val="00F63B67"/>
    <w:rsid w:val="00F63E8A"/>
    <w:rsid w:val="00F64034"/>
    <w:rsid w:val="00F64496"/>
    <w:rsid w:val="00F647FE"/>
    <w:rsid w:val="00F6481D"/>
    <w:rsid w:val="00F64A3B"/>
    <w:rsid w:val="00F64B5E"/>
    <w:rsid w:val="00F64FF5"/>
    <w:rsid w:val="00F65019"/>
    <w:rsid w:val="00F6508D"/>
    <w:rsid w:val="00F650B1"/>
    <w:rsid w:val="00F656DD"/>
    <w:rsid w:val="00F65AE6"/>
    <w:rsid w:val="00F65B1B"/>
    <w:rsid w:val="00F65B35"/>
    <w:rsid w:val="00F65CAE"/>
    <w:rsid w:val="00F65DF2"/>
    <w:rsid w:val="00F65E3B"/>
    <w:rsid w:val="00F65F4D"/>
    <w:rsid w:val="00F66162"/>
    <w:rsid w:val="00F66461"/>
    <w:rsid w:val="00F66774"/>
    <w:rsid w:val="00F66B4B"/>
    <w:rsid w:val="00F67E59"/>
    <w:rsid w:val="00F67FB5"/>
    <w:rsid w:val="00F70F17"/>
    <w:rsid w:val="00F7115C"/>
    <w:rsid w:val="00F712E1"/>
    <w:rsid w:val="00F71905"/>
    <w:rsid w:val="00F71CBE"/>
    <w:rsid w:val="00F71D22"/>
    <w:rsid w:val="00F7207D"/>
    <w:rsid w:val="00F728B5"/>
    <w:rsid w:val="00F728B8"/>
    <w:rsid w:val="00F7297F"/>
    <w:rsid w:val="00F72F1F"/>
    <w:rsid w:val="00F730EA"/>
    <w:rsid w:val="00F74759"/>
    <w:rsid w:val="00F750D8"/>
    <w:rsid w:val="00F75F51"/>
    <w:rsid w:val="00F76156"/>
    <w:rsid w:val="00F76FD0"/>
    <w:rsid w:val="00F771E1"/>
    <w:rsid w:val="00F773B9"/>
    <w:rsid w:val="00F776B1"/>
    <w:rsid w:val="00F77801"/>
    <w:rsid w:val="00F779D1"/>
    <w:rsid w:val="00F77CDD"/>
    <w:rsid w:val="00F77F79"/>
    <w:rsid w:val="00F77FAA"/>
    <w:rsid w:val="00F8003F"/>
    <w:rsid w:val="00F8099E"/>
    <w:rsid w:val="00F809A5"/>
    <w:rsid w:val="00F809D1"/>
    <w:rsid w:val="00F80D9B"/>
    <w:rsid w:val="00F80E7E"/>
    <w:rsid w:val="00F81E63"/>
    <w:rsid w:val="00F82D42"/>
    <w:rsid w:val="00F831C1"/>
    <w:rsid w:val="00F8337D"/>
    <w:rsid w:val="00F838E3"/>
    <w:rsid w:val="00F83941"/>
    <w:rsid w:val="00F8395A"/>
    <w:rsid w:val="00F83F5D"/>
    <w:rsid w:val="00F844C7"/>
    <w:rsid w:val="00F84594"/>
    <w:rsid w:val="00F84741"/>
    <w:rsid w:val="00F84C77"/>
    <w:rsid w:val="00F84FE0"/>
    <w:rsid w:val="00F8502D"/>
    <w:rsid w:val="00F85030"/>
    <w:rsid w:val="00F85781"/>
    <w:rsid w:val="00F8586B"/>
    <w:rsid w:val="00F85FF5"/>
    <w:rsid w:val="00F862A4"/>
    <w:rsid w:val="00F864A2"/>
    <w:rsid w:val="00F86B31"/>
    <w:rsid w:val="00F86D87"/>
    <w:rsid w:val="00F86E57"/>
    <w:rsid w:val="00F8711E"/>
    <w:rsid w:val="00F87FF8"/>
    <w:rsid w:val="00F90DC2"/>
    <w:rsid w:val="00F91074"/>
    <w:rsid w:val="00F913DB"/>
    <w:rsid w:val="00F9154D"/>
    <w:rsid w:val="00F91616"/>
    <w:rsid w:val="00F91E2E"/>
    <w:rsid w:val="00F920AD"/>
    <w:rsid w:val="00F9232A"/>
    <w:rsid w:val="00F92431"/>
    <w:rsid w:val="00F9254F"/>
    <w:rsid w:val="00F92704"/>
    <w:rsid w:val="00F92AA2"/>
    <w:rsid w:val="00F930A4"/>
    <w:rsid w:val="00F9327D"/>
    <w:rsid w:val="00F93590"/>
    <w:rsid w:val="00F9409C"/>
    <w:rsid w:val="00F94272"/>
    <w:rsid w:val="00F948B0"/>
    <w:rsid w:val="00F94C01"/>
    <w:rsid w:val="00F94EF2"/>
    <w:rsid w:val="00F95830"/>
    <w:rsid w:val="00F95887"/>
    <w:rsid w:val="00F95A47"/>
    <w:rsid w:val="00F95C39"/>
    <w:rsid w:val="00F9638C"/>
    <w:rsid w:val="00F963AE"/>
    <w:rsid w:val="00F96D23"/>
    <w:rsid w:val="00F97387"/>
    <w:rsid w:val="00F9766D"/>
    <w:rsid w:val="00F97EA7"/>
    <w:rsid w:val="00FA0A2F"/>
    <w:rsid w:val="00FA0DC1"/>
    <w:rsid w:val="00FA1322"/>
    <w:rsid w:val="00FA1616"/>
    <w:rsid w:val="00FA2914"/>
    <w:rsid w:val="00FA2A74"/>
    <w:rsid w:val="00FA2B8C"/>
    <w:rsid w:val="00FA2EED"/>
    <w:rsid w:val="00FA38D4"/>
    <w:rsid w:val="00FA3F03"/>
    <w:rsid w:val="00FA48B2"/>
    <w:rsid w:val="00FA4901"/>
    <w:rsid w:val="00FA4C13"/>
    <w:rsid w:val="00FA4C70"/>
    <w:rsid w:val="00FA5DDB"/>
    <w:rsid w:val="00FA645F"/>
    <w:rsid w:val="00FA65D3"/>
    <w:rsid w:val="00FA7065"/>
    <w:rsid w:val="00FA7196"/>
    <w:rsid w:val="00FA75D3"/>
    <w:rsid w:val="00FA7C35"/>
    <w:rsid w:val="00FA7FD2"/>
    <w:rsid w:val="00FB0060"/>
    <w:rsid w:val="00FB0272"/>
    <w:rsid w:val="00FB08D1"/>
    <w:rsid w:val="00FB16D0"/>
    <w:rsid w:val="00FB18B0"/>
    <w:rsid w:val="00FB1967"/>
    <w:rsid w:val="00FB1F35"/>
    <w:rsid w:val="00FB210E"/>
    <w:rsid w:val="00FB2F2A"/>
    <w:rsid w:val="00FB3300"/>
    <w:rsid w:val="00FB3540"/>
    <w:rsid w:val="00FB36CD"/>
    <w:rsid w:val="00FB3AAF"/>
    <w:rsid w:val="00FB3C65"/>
    <w:rsid w:val="00FB4540"/>
    <w:rsid w:val="00FB4B75"/>
    <w:rsid w:val="00FB4CC0"/>
    <w:rsid w:val="00FB4D2D"/>
    <w:rsid w:val="00FB4DEF"/>
    <w:rsid w:val="00FB501B"/>
    <w:rsid w:val="00FB50E8"/>
    <w:rsid w:val="00FB52B3"/>
    <w:rsid w:val="00FB58F7"/>
    <w:rsid w:val="00FB5AAC"/>
    <w:rsid w:val="00FB5F51"/>
    <w:rsid w:val="00FB6024"/>
    <w:rsid w:val="00FB64D9"/>
    <w:rsid w:val="00FB652F"/>
    <w:rsid w:val="00FB6B14"/>
    <w:rsid w:val="00FB753C"/>
    <w:rsid w:val="00FB78A4"/>
    <w:rsid w:val="00FB7B47"/>
    <w:rsid w:val="00FB7CB6"/>
    <w:rsid w:val="00FC079B"/>
    <w:rsid w:val="00FC09BD"/>
    <w:rsid w:val="00FC1154"/>
    <w:rsid w:val="00FC13FD"/>
    <w:rsid w:val="00FC15DB"/>
    <w:rsid w:val="00FC17A8"/>
    <w:rsid w:val="00FC18B6"/>
    <w:rsid w:val="00FC18DF"/>
    <w:rsid w:val="00FC1924"/>
    <w:rsid w:val="00FC1DC0"/>
    <w:rsid w:val="00FC2764"/>
    <w:rsid w:val="00FC2819"/>
    <w:rsid w:val="00FC288E"/>
    <w:rsid w:val="00FC2A03"/>
    <w:rsid w:val="00FC3055"/>
    <w:rsid w:val="00FC3A57"/>
    <w:rsid w:val="00FC3DA0"/>
    <w:rsid w:val="00FC3DAA"/>
    <w:rsid w:val="00FC4175"/>
    <w:rsid w:val="00FC4839"/>
    <w:rsid w:val="00FC4B4C"/>
    <w:rsid w:val="00FC54A6"/>
    <w:rsid w:val="00FC5DB4"/>
    <w:rsid w:val="00FC62B5"/>
    <w:rsid w:val="00FC6459"/>
    <w:rsid w:val="00FC64F1"/>
    <w:rsid w:val="00FC660D"/>
    <w:rsid w:val="00FC6967"/>
    <w:rsid w:val="00FC6DA5"/>
    <w:rsid w:val="00FC7974"/>
    <w:rsid w:val="00FD030C"/>
    <w:rsid w:val="00FD0681"/>
    <w:rsid w:val="00FD1130"/>
    <w:rsid w:val="00FD15E0"/>
    <w:rsid w:val="00FD1668"/>
    <w:rsid w:val="00FD208E"/>
    <w:rsid w:val="00FD2A67"/>
    <w:rsid w:val="00FD2AC7"/>
    <w:rsid w:val="00FD2CF6"/>
    <w:rsid w:val="00FD3239"/>
    <w:rsid w:val="00FD3E32"/>
    <w:rsid w:val="00FD3E49"/>
    <w:rsid w:val="00FD3F7F"/>
    <w:rsid w:val="00FD4546"/>
    <w:rsid w:val="00FD45FD"/>
    <w:rsid w:val="00FD46A9"/>
    <w:rsid w:val="00FD52FF"/>
    <w:rsid w:val="00FD59D9"/>
    <w:rsid w:val="00FD5D7C"/>
    <w:rsid w:val="00FD5F72"/>
    <w:rsid w:val="00FD6173"/>
    <w:rsid w:val="00FD6632"/>
    <w:rsid w:val="00FD67A1"/>
    <w:rsid w:val="00FD696A"/>
    <w:rsid w:val="00FD6AEB"/>
    <w:rsid w:val="00FD70A1"/>
    <w:rsid w:val="00FD70A8"/>
    <w:rsid w:val="00FD751B"/>
    <w:rsid w:val="00FD790A"/>
    <w:rsid w:val="00FE005F"/>
    <w:rsid w:val="00FE06FF"/>
    <w:rsid w:val="00FE08AB"/>
    <w:rsid w:val="00FE126D"/>
    <w:rsid w:val="00FE1E8A"/>
    <w:rsid w:val="00FE1EC7"/>
    <w:rsid w:val="00FE2254"/>
    <w:rsid w:val="00FE23DA"/>
    <w:rsid w:val="00FE27C0"/>
    <w:rsid w:val="00FE2D85"/>
    <w:rsid w:val="00FE2F81"/>
    <w:rsid w:val="00FE3AE6"/>
    <w:rsid w:val="00FE3F03"/>
    <w:rsid w:val="00FE3FA9"/>
    <w:rsid w:val="00FE3FFE"/>
    <w:rsid w:val="00FE4174"/>
    <w:rsid w:val="00FE4711"/>
    <w:rsid w:val="00FE4739"/>
    <w:rsid w:val="00FE4954"/>
    <w:rsid w:val="00FE4E68"/>
    <w:rsid w:val="00FE559A"/>
    <w:rsid w:val="00FE587D"/>
    <w:rsid w:val="00FE5EEB"/>
    <w:rsid w:val="00FE5F46"/>
    <w:rsid w:val="00FE6945"/>
    <w:rsid w:val="00FE6D94"/>
    <w:rsid w:val="00FE7585"/>
    <w:rsid w:val="00FE7AFB"/>
    <w:rsid w:val="00FE7D14"/>
    <w:rsid w:val="00FF0005"/>
    <w:rsid w:val="00FF0231"/>
    <w:rsid w:val="00FF024E"/>
    <w:rsid w:val="00FF0318"/>
    <w:rsid w:val="00FF0CCE"/>
    <w:rsid w:val="00FF0D5A"/>
    <w:rsid w:val="00FF0D6E"/>
    <w:rsid w:val="00FF125D"/>
    <w:rsid w:val="00FF12D7"/>
    <w:rsid w:val="00FF20E8"/>
    <w:rsid w:val="00FF26D0"/>
    <w:rsid w:val="00FF2DDE"/>
    <w:rsid w:val="00FF2E1B"/>
    <w:rsid w:val="00FF302D"/>
    <w:rsid w:val="00FF306D"/>
    <w:rsid w:val="00FF33F1"/>
    <w:rsid w:val="00FF3C8C"/>
    <w:rsid w:val="00FF4132"/>
    <w:rsid w:val="00FF4279"/>
    <w:rsid w:val="00FF487C"/>
    <w:rsid w:val="00FF4BF2"/>
    <w:rsid w:val="00FF4C5A"/>
    <w:rsid w:val="00FF507B"/>
    <w:rsid w:val="00FF544D"/>
    <w:rsid w:val="00FF6346"/>
    <w:rsid w:val="00FF6C13"/>
    <w:rsid w:val="00FF6DCE"/>
    <w:rsid w:val="00FF70C3"/>
    <w:rsid w:val="00FF7163"/>
    <w:rsid w:val="00FF74C5"/>
    <w:rsid w:val="00FF7C25"/>
    <w:rsid w:val="00FF7C85"/>
    <w:rsid w:val="00FF7CCE"/>
    <w:rsid w:val="00FF7D9A"/>
    <w:rsid w:val="01127C43"/>
    <w:rsid w:val="012992BB"/>
    <w:rsid w:val="01B25FCC"/>
    <w:rsid w:val="024B4A38"/>
    <w:rsid w:val="027E1853"/>
    <w:rsid w:val="02C791D1"/>
    <w:rsid w:val="02CD3B1B"/>
    <w:rsid w:val="02D41E3A"/>
    <w:rsid w:val="02D9229A"/>
    <w:rsid w:val="02DFE69E"/>
    <w:rsid w:val="02EF064E"/>
    <w:rsid w:val="0306709D"/>
    <w:rsid w:val="0314E042"/>
    <w:rsid w:val="0322DDD2"/>
    <w:rsid w:val="0329EA78"/>
    <w:rsid w:val="0349D310"/>
    <w:rsid w:val="034DE4AE"/>
    <w:rsid w:val="035D9DF6"/>
    <w:rsid w:val="0362CD9C"/>
    <w:rsid w:val="036E2CAF"/>
    <w:rsid w:val="03A0445C"/>
    <w:rsid w:val="03A41987"/>
    <w:rsid w:val="03B67731"/>
    <w:rsid w:val="03E4EFD5"/>
    <w:rsid w:val="03F90A95"/>
    <w:rsid w:val="0410B3FD"/>
    <w:rsid w:val="04181999"/>
    <w:rsid w:val="042234B6"/>
    <w:rsid w:val="044B39E4"/>
    <w:rsid w:val="04655797"/>
    <w:rsid w:val="04663B83"/>
    <w:rsid w:val="0499873E"/>
    <w:rsid w:val="04AC0DA8"/>
    <w:rsid w:val="04B05D8A"/>
    <w:rsid w:val="050CC180"/>
    <w:rsid w:val="050E6A50"/>
    <w:rsid w:val="0521CDEF"/>
    <w:rsid w:val="05416471"/>
    <w:rsid w:val="0551B053"/>
    <w:rsid w:val="0551E5DB"/>
    <w:rsid w:val="0569AB84"/>
    <w:rsid w:val="056A339E"/>
    <w:rsid w:val="0570B359"/>
    <w:rsid w:val="0582D2E2"/>
    <w:rsid w:val="059C048A"/>
    <w:rsid w:val="05AD2CB0"/>
    <w:rsid w:val="05FA7335"/>
    <w:rsid w:val="0600EC43"/>
    <w:rsid w:val="06158072"/>
    <w:rsid w:val="0641D24D"/>
    <w:rsid w:val="0645A618"/>
    <w:rsid w:val="0646986D"/>
    <w:rsid w:val="0665D6D1"/>
    <w:rsid w:val="066AE767"/>
    <w:rsid w:val="067392E9"/>
    <w:rsid w:val="0682F41B"/>
    <w:rsid w:val="069C6D40"/>
    <w:rsid w:val="06A1B808"/>
    <w:rsid w:val="06B8EC6E"/>
    <w:rsid w:val="06C6834D"/>
    <w:rsid w:val="06EDEFB4"/>
    <w:rsid w:val="0721EFC6"/>
    <w:rsid w:val="072953DB"/>
    <w:rsid w:val="07667A3D"/>
    <w:rsid w:val="07778C93"/>
    <w:rsid w:val="078005FE"/>
    <w:rsid w:val="079CB613"/>
    <w:rsid w:val="07CA3284"/>
    <w:rsid w:val="07CC71A4"/>
    <w:rsid w:val="07D3EDC9"/>
    <w:rsid w:val="0824FB0D"/>
    <w:rsid w:val="08291404"/>
    <w:rsid w:val="0846470B"/>
    <w:rsid w:val="08BDF577"/>
    <w:rsid w:val="090A67F7"/>
    <w:rsid w:val="0915E6DE"/>
    <w:rsid w:val="09357A8E"/>
    <w:rsid w:val="099548DA"/>
    <w:rsid w:val="09AAE05C"/>
    <w:rsid w:val="09C145B1"/>
    <w:rsid w:val="09D1BA6D"/>
    <w:rsid w:val="09D624F2"/>
    <w:rsid w:val="09DED4A0"/>
    <w:rsid w:val="09F78846"/>
    <w:rsid w:val="09FDDF5B"/>
    <w:rsid w:val="0A065ED3"/>
    <w:rsid w:val="0A40BC66"/>
    <w:rsid w:val="0A8B1993"/>
    <w:rsid w:val="0A99C017"/>
    <w:rsid w:val="0ABE7A37"/>
    <w:rsid w:val="0AD27BD4"/>
    <w:rsid w:val="0AE8AAE9"/>
    <w:rsid w:val="0AF6BAD6"/>
    <w:rsid w:val="0AFFFDFB"/>
    <w:rsid w:val="0B1101D3"/>
    <w:rsid w:val="0B236A98"/>
    <w:rsid w:val="0B575843"/>
    <w:rsid w:val="0B76B082"/>
    <w:rsid w:val="0BB1909F"/>
    <w:rsid w:val="0BF2B858"/>
    <w:rsid w:val="0C0B1B22"/>
    <w:rsid w:val="0C0CA7BC"/>
    <w:rsid w:val="0C4AFDB6"/>
    <w:rsid w:val="0C592125"/>
    <w:rsid w:val="0C83E4CD"/>
    <w:rsid w:val="0CE1EB75"/>
    <w:rsid w:val="0CEE56AB"/>
    <w:rsid w:val="0D2BF23B"/>
    <w:rsid w:val="0D2F7B00"/>
    <w:rsid w:val="0D5342B0"/>
    <w:rsid w:val="0D590421"/>
    <w:rsid w:val="0D614F26"/>
    <w:rsid w:val="0D6CF794"/>
    <w:rsid w:val="0DA008CE"/>
    <w:rsid w:val="0DA25DA1"/>
    <w:rsid w:val="0DBC789F"/>
    <w:rsid w:val="0DD19B01"/>
    <w:rsid w:val="0DE4BDF4"/>
    <w:rsid w:val="0DFDE581"/>
    <w:rsid w:val="0E095064"/>
    <w:rsid w:val="0E3C6F83"/>
    <w:rsid w:val="0E3F0DCF"/>
    <w:rsid w:val="0E670F90"/>
    <w:rsid w:val="0E81E437"/>
    <w:rsid w:val="0E8BB509"/>
    <w:rsid w:val="0E8BED5F"/>
    <w:rsid w:val="0E9A8C51"/>
    <w:rsid w:val="0EB1A237"/>
    <w:rsid w:val="0EC7C29C"/>
    <w:rsid w:val="0EEA2628"/>
    <w:rsid w:val="0F03FA90"/>
    <w:rsid w:val="0F19F2E4"/>
    <w:rsid w:val="0F335E88"/>
    <w:rsid w:val="0F37A962"/>
    <w:rsid w:val="0F6D18FE"/>
    <w:rsid w:val="0F721188"/>
    <w:rsid w:val="0F77E392"/>
    <w:rsid w:val="0F864B29"/>
    <w:rsid w:val="0F8DDC2C"/>
    <w:rsid w:val="0FA15668"/>
    <w:rsid w:val="0FB00BBE"/>
    <w:rsid w:val="0FC4DBCE"/>
    <w:rsid w:val="0FC8D700"/>
    <w:rsid w:val="0FF3D408"/>
    <w:rsid w:val="101F03EC"/>
    <w:rsid w:val="103B12D7"/>
    <w:rsid w:val="1081E52B"/>
    <w:rsid w:val="10862BBD"/>
    <w:rsid w:val="1090C824"/>
    <w:rsid w:val="10C55C33"/>
    <w:rsid w:val="10CC2E0A"/>
    <w:rsid w:val="10CF0E39"/>
    <w:rsid w:val="10EF4618"/>
    <w:rsid w:val="10F227D2"/>
    <w:rsid w:val="10F6C35A"/>
    <w:rsid w:val="10F95C79"/>
    <w:rsid w:val="110D198D"/>
    <w:rsid w:val="113A4975"/>
    <w:rsid w:val="113AB38A"/>
    <w:rsid w:val="1162BE24"/>
    <w:rsid w:val="11649CE7"/>
    <w:rsid w:val="1172852A"/>
    <w:rsid w:val="118FC79A"/>
    <w:rsid w:val="11B829D2"/>
    <w:rsid w:val="12296947"/>
    <w:rsid w:val="124AA2B6"/>
    <w:rsid w:val="129C6196"/>
    <w:rsid w:val="12BB54DF"/>
    <w:rsid w:val="12D36797"/>
    <w:rsid w:val="132A9154"/>
    <w:rsid w:val="132DA45A"/>
    <w:rsid w:val="13543090"/>
    <w:rsid w:val="136BCDCB"/>
    <w:rsid w:val="138EC801"/>
    <w:rsid w:val="13B5A717"/>
    <w:rsid w:val="13B80B2B"/>
    <w:rsid w:val="13C48E81"/>
    <w:rsid w:val="13C5773D"/>
    <w:rsid w:val="13D84FBF"/>
    <w:rsid w:val="13E10D8B"/>
    <w:rsid w:val="13F46890"/>
    <w:rsid w:val="1434B737"/>
    <w:rsid w:val="144670BE"/>
    <w:rsid w:val="146CC166"/>
    <w:rsid w:val="149ADD2E"/>
    <w:rsid w:val="14A40466"/>
    <w:rsid w:val="14C9ED36"/>
    <w:rsid w:val="14E668BD"/>
    <w:rsid w:val="150369AE"/>
    <w:rsid w:val="152301C2"/>
    <w:rsid w:val="1535C8BF"/>
    <w:rsid w:val="1544D40E"/>
    <w:rsid w:val="154EADB0"/>
    <w:rsid w:val="156435B3"/>
    <w:rsid w:val="156455C2"/>
    <w:rsid w:val="15655D40"/>
    <w:rsid w:val="15C739A6"/>
    <w:rsid w:val="15E5BA73"/>
    <w:rsid w:val="15F35772"/>
    <w:rsid w:val="163A24C7"/>
    <w:rsid w:val="1646A56B"/>
    <w:rsid w:val="1649911A"/>
    <w:rsid w:val="164B52F0"/>
    <w:rsid w:val="16589905"/>
    <w:rsid w:val="16813AEE"/>
    <w:rsid w:val="16B553F5"/>
    <w:rsid w:val="16BDE71B"/>
    <w:rsid w:val="16DF2576"/>
    <w:rsid w:val="16E1E70E"/>
    <w:rsid w:val="16E26420"/>
    <w:rsid w:val="16E62449"/>
    <w:rsid w:val="16F5A1A7"/>
    <w:rsid w:val="17022395"/>
    <w:rsid w:val="1734BCAA"/>
    <w:rsid w:val="1740A7FE"/>
    <w:rsid w:val="17588BC8"/>
    <w:rsid w:val="178B5378"/>
    <w:rsid w:val="179CE854"/>
    <w:rsid w:val="17B2606F"/>
    <w:rsid w:val="17E6B8C5"/>
    <w:rsid w:val="18736AB3"/>
    <w:rsid w:val="188571F9"/>
    <w:rsid w:val="188C4105"/>
    <w:rsid w:val="18C4F912"/>
    <w:rsid w:val="18C9E54A"/>
    <w:rsid w:val="18DE73B7"/>
    <w:rsid w:val="18EC9D8F"/>
    <w:rsid w:val="18EFC9A8"/>
    <w:rsid w:val="1929CE39"/>
    <w:rsid w:val="1934C61E"/>
    <w:rsid w:val="1940AD36"/>
    <w:rsid w:val="1942CE5B"/>
    <w:rsid w:val="19C1B9D2"/>
    <w:rsid w:val="19C4FCE1"/>
    <w:rsid w:val="19CF9449"/>
    <w:rsid w:val="1A0C95BC"/>
    <w:rsid w:val="1A558A90"/>
    <w:rsid w:val="1A5EA722"/>
    <w:rsid w:val="1A919069"/>
    <w:rsid w:val="1AA147DA"/>
    <w:rsid w:val="1AB4CB83"/>
    <w:rsid w:val="1AC3364D"/>
    <w:rsid w:val="1ACD3EA5"/>
    <w:rsid w:val="1AD88E1F"/>
    <w:rsid w:val="1AE35F3F"/>
    <w:rsid w:val="1AF2C6E7"/>
    <w:rsid w:val="1AFF446B"/>
    <w:rsid w:val="1B420035"/>
    <w:rsid w:val="1B5F233C"/>
    <w:rsid w:val="1B76CEDD"/>
    <w:rsid w:val="1B89CDEA"/>
    <w:rsid w:val="1BE2A423"/>
    <w:rsid w:val="1C0909A5"/>
    <w:rsid w:val="1C184486"/>
    <w:rsid w:val="1C3FE25C"/>
    <w:rsid w:val="1C411EF0"/>
    <w:rsid w:val="1C4AD69B"/>
    <w:rsid w:val="1C799E50"/>
    <w:rsid w:val="1C841EB0"/>
    <w:rsid w:val="1C89643D"/>
    <w:rsid w:val="1C8CA591"/>
    <w:rsid w:val="1CB3EBDA"/>
    <w:rsid w:val="1CBE24C1"/>
    <w:rsid w:val="1CD7F901"/>
    <w:rsid w:val="1CF611F5"/>
    <w:rsid w:val="1CFBB8DA"/>
    <w:rsid w:val="1D666ED8"/>
    <w:rsid w:val="1D78035E"/>
    <w:rsid w:val="1D7D8A5D"/>
    <w:rsid w:val="1D92B10B"/>
    <w:rsid w:val="1DACF2AF"/>
    <w:rsid w:val="1DB7359E"/>
    <w:rsid w:val="1DBFE22B"/>
    <w:rsid w:val="1DDA39E1"/>
    <w:rsid w:val="1DDB85A6"/>
    <w:rsid w:val="1DE440D1"/>
    <w:rsid w:val="1DEEF679"/>
    <w:rsid w:val="1E03AC6B"/>
    <w:rsid w:val="1E1004FF"/>
    <w:rsid w:val="1E21D458"/>
    <w:rsid w:val="1E334165"/>
    <w:rsid w:val="1E349EDB"/>
    <w:rsid w:val="1E50B957"/>
    <w:rsid w:val="1E5B59C9"/>
    <w:rsid w:val="1E66C975"/>
    <w:rsid w:val="1E7BDFFB"/>
    <w:rsid w:val="1E9A70A2"/>
    <w:rsid w:val="1EC4BE09"/>
    <w:rsid w:val="1ED21C5A"/>
    <w:rsid w:val="1EF08946"/>
    <w:rsid w:val="1EF4639D"/>
    <w:rsid w:val="1EFBE351"/>
    <w:rsid w:val="1F2B6556"/>
    <w:rsid w:val="1F368AE1"/>
    <w:rsid w:val="1F45E5F9"/>
    <w:rsid w:val="1F482739"/>
    <w:rsid w:val="1F7903A3"/>
    <w:rsid w:val="1F904180"/>
    <w:rsid w:val="1F9932F4"/>
    <w:rsid w:val="1FA46DD7"/>
    <w:rsid w:val="1FAA936E"/>
    <w:rsid w:val="1FB11CF6"/>
    <w:rsid w:val="1FC3FA1B"/>
    <w:rsid w:val="1FC51DB4"/>
    <w:rsid w:val="1FD23FD6"/>
    <w:rsid w:val="1FD2D5FB"/>
    <w:rsid w:val="1FD4604D"/>
    <w:rsid w:val="1FDCC815"/>
    <w:rsid w:val="1FDE02FD"/>
    <w:rsid w:val="1FDEDF19"/>
    <w:rsid w:val="2042718B"/>
    <w:rsid w:val="208DDE8A"/>
    <w:rsid w:val="20BB3FA0"/>
    <w:rsid w:val="20EED266"/>
    <w:rsid w:val="2103FDB9"/>
    <w:rsid w:val="2113BF9D"/>
    <w:rsid w:val="212A9065"/>
    <w:rsid w:val="21686BCE"/>
    <w:rsid w:val="216A0A18"/>
    <w:rsid w:val="216A27BC"/>
    <w:rsid w:val="2175A20F"/>
    <w:rsid w:val="218AEB15"/>
    <w:rsid w:val="21C9FE1F"/>
    <w:rsid w:val="21F46E89"/>
    <w:rsid w:val="2228E263"/>
    <w:rsid w:val="22477C9D"/>
    <w:rsid w:val="2270E32F"/>
    <w:rsid w:val="228AA2C7"/>
    <w:rsid w:val="229503F7"/>
    <w:rsid w:val="22AF9D65"/>
    <w:rsid w:val="22B1D4EA"/>
    <w:rsid w:val="22D681DF"/>
    <w:rsid w:val="230DC553"/>
    <w:rsid w:val="2369D2E6"/>
    <w:rsid w:val="23812055"/>
    <w:rsid w:val="238D595F"/>
    <w:rsid w:val="23A69B69"/>
    <w:rsid w:val="23AC3DC6"/>
    <w:rsid w:val="23D091E7"/>
    <w:rsid w:val="23F68E71"/>
    <w:rsid w:val="23F9AD52"/>
    <w:rsid w:val="243EC6A5"/>
    <w:rsid w:val="244CD610"/>
    <w:rsid w:val="247FBA1C"/>
    <w:rsid w:val="2480699A"/>
    <w:rsid w:val="24A46033"/>
    <w:rsid w:val="24DB8907"/>
    <w:rsid w:val="24E1DB6F"/>
    <w:rsid w:val="24E6875E"/>
    <w:rsid w:val="24E7A8E4"/>
    <w:rsid w:val="24F727C3"/>
    <w:rsid w:val="2506A2BF"/>
    <w:rsid w:val="250FA1E1"/>
    <w:rsid w:val="2517CA83"/>
    <w:rsid w:val="2533C45D"/>
    <w:rsid w:val="25366C8B"/>
    <w:rsid w:val="2550B3BF"/>
    <w:rsid w:val="25664DDE"/>
    <w:rsid w:val="258CBA3C"/>
    <w:rsid w:val="25B6C597"/>
    <w:rsid w:val="25C37D11"/>
    <w:rsid w:val="25CC0485"/>
    <w:rsid w:val="25DBB471"/>
    <w:rsid w:val="25EF7C7E"/>
    <w:rsid w:val="26018CAD"/>
    <w:rsid w:val="261367B0"/>
    <w:rsid w:val="263FAE1F"/>
    <w:rsid w:val="26469E01"/>
    <w:rsid w:val="26632C33"/>
    <w:rsid w:val="2673825C"/>
    <w:rsid w:val="267AF37D"/>
    <w:rsid w:val="267BA776"/>
    <w:rsid w:val="26A29D89"/>
    <w:rsid w:val="26A85060"/>
    <w:rsid w:val="26C661C9"/>
    <w:rsid w:val="26E29E5C"/>
    <w:rsid w:val="26EB44FA"/>
    <w:rsid w:val="26F198D6"/>
    <w:rsid w:val="26F623DF"/>
    <w:rsid w:val="27122575"/>
    <w:rsid w:val="27212050"/>
    <w:rsid w:val="273C5A5C"/>
    <w:rsid w:val="274E670A"/>
    <w:rsid w:val="276F4429"/>
    <w:rsid w:val="278DD787"/>
    <w:rsid w:val="27B6FE70"/>
    <w:rsid w:val="27C9AC8F"/>
    <w:rsid w:val="27F2A4F7"/>
    <w:rsid w:val="27F607FA"/>
    <w:rsid w:val="28080EED"/>
    <w:rsid w:val="2813A1BE"/>
    <w:rsid w:val="283BAEEE"/>
    <w:rsid w:val="286756C5"/>
    <w:rsid w:val="289B5E98"/>
    <w:rsid w:val="289BB26D"/>
    <w:rsid w:val="28A0B124"/>
    <w:rsid w:val="28B755D4"/>
    <w:rsid w:val="2905B05B"/>
    <w:rsid w:val="293C6AB0"/>
    <w:rsid w:val="29711DDA"/>
    <w:rsid w:val="2974831E"/>
    <w:rsid w:val="2990A0A1"/>
    <w:rsid w:val="29A616B0"/>
    <w:rsid w:val="29A621DA"/>
    <w:rsid w:val="29BE0AFE"/>
    <w:rsid w:val="29DDADC5"/>
    <w:rsid w:val="2A127414"/>
    <w:rsid w:val="2A17E239"/>
    <w:rsid w:val="2A1BF4D6"/>
    <w:rsid w:val="2A3A0CC3"/>
    <w:rsid w:val="2A3C6582"/>
    <w:rsid w:val="2AB613F7"/>
    <w:rsid w:val="2ABA0A8D"/>
    <w:rsid w:val="2ADABF4C"/>
    <w:rsid w:val="2AE8F3D2"/>
    <w:rsid w:val="2B0B7568"/>
    <w:rsid w:val="2B5E2A99"/>
    <w:rsid w:val="2BA42E30"/>
    <w:rsid w:val="2BB08B6C"/>
    <w:rsid w:val="2BCF310A"/>
    <w:rsid w:val="2BD4A04A"/>
    <w:rsid w:val="2BDE169F"/>
    <w:rsid w:val="2BEB47B2"/>
    <w:rsid w:val="2BF29469"/>
    <w:rsid w:val="2BF70A33"/>
    <w:rsid w:val="2C249345"/>
    <w:rsid w:val="2C5CACC2"/>
    <w:rsid w:val="2C941025"/>
    <w:rsid w:val="2C95918C"/>
    <w:rsid w:val="2C9D343B"/>
    <w:rsid w:val="2CA94307"/>
    <w:rsid w:val="2CAB2665"/>
    <w:rsid w:val="2CCB5EFB"/>
    <w:rsid w:val="2CDDAABD"/>
    <w:rsid w:val="2CEC3ED4"/>
    <w:rsid w:val="2CF9A550"/>
    <w:rsid w:val="2D07E1A4"/>
    <w:rsid w:val="2D0966E3"/>
    <w:rsid w:val="2D51DFE0"/>
    <w:rsid w:val="2D58FF95"/>
    <w:rsid w:val="2DB9E80C"/>
    <w:rsid w:val="2DD586B1"/>
    <w:rsid w:val="2DF9AE34"/>
    <w:rsid w:val="2E25941E"/>
    <w:rsid w:val="2E6FB321"/>
    <w:rsid w:val="2E9DFD0D"/>
    <w:rsid w:val="2EA6A13A"/>
    <w:rsid w:val="2EAC435C"/>
    <w:rsid w:val="2EDC7EDF"/>
    <w:rsid w:val="2EEDF477"/>
    <w:rsid w:val="2EEE4B50"/>
    <w:rsid w:val="2EFADEF5"/>
    <w:rsid w:val="2F1F9002"/>
    <w:rsid w:val="2F50BAFE"/>
    <w:rsid w:val="2F897F78"/>
    <w:rsid w:val="2F9CFC53"/>
    <w:rsid w:val="2FD4ACE0"/>
    <w:rsid w:val="3009A1B4"/>
    <w:rsid w:val="3019CAA5"/>
    <w:rsid w:val="30319ED1"/>
    <w:rsid w:val="3035E89B"/>
    <w:rsid w:val="304614B1"/>
    <w:rsid w:val="30916AFD"/>
    <w:rsid w:val="30FFFA98"/>
    <w:rsid w:val="31083A0E"/>
    <w:rsid w:val="310A3A9D"/>
    <w:rsid w:val="310A8F4D"/>
    <w:rsid w:val="31397B96"/>
    <w:rsid w:val="31465565"/>
    <w:rsid w:val="31917C1F"/>
    <w:rsid w:val="31D0FCDF"/>
    <w:rsid w:val="31EEE424"/>
    <w:rsid w:val="322B179C"/>
    <w:rsid w:val="3252EB97"/>
    <w:rsid w:val="325F057D"/>
    <w:rsid w:val="32670105"/>
    <w:rsid w:val="32A8BDA2"/>
    <w:rsid w:val="32DB97C2"/>
    <w:rsid w:val="32F0DC93"/>
    <w:rsid w:val="330635E8"/>
    <w:rsid w:val="330EC32B"/>
    <w:rsid w:val="334F25C4"/>
    <w:rsid w:val="33A59C22"/>
    <w:rsid w:val="33BB1BE6"/>
    <w:rsid w:val="33E75CB5"/>
    <w:rsid w:val="33E916C7"/>
    <w:rsid w:val="34089077"/>
    <w:rsid w:val="340A81E1"/>
    <w:rsid w:val="340E9201"/>
    <w:rsid w:val="342750BE"/>
    <w:rsid w:val="3436C000"/>
    <w:rsid w:val="34465B94"/>
    <w:rsid w:val="344E1919"/>
    <w:rsid w:val="345E8B38"/>
    <w:rsid w:val="34790CFB"/>
    <w:rsid w:val="3495677E"/>
    <w:rsid w:val="349CBB28"/>
    <w:rsid w:val="34A96A97"/>
    <w:rsid w:val="34ABB484"/>
    <w:rsid w:val="34B224AF"/>
    <w:rsid w:val="34BBD02E"/>
    <w:rsid w:val="34E0F43A"/>
    <w:rsid w:val="34E46629"/>
    <w:rsid w:val="34E532F2"/>
    <w:rsid w:val="34FA2FBA"/>
    <w:rsid w:val="3500FA0E"/>
    <w:rsid w:val="3502D17C"/>
    <w:rsid w:val="351C86DA"/>
    <w:rsid w:val="3523CD96"/>
    <w:rsid w:val="35832807"/>
    <w:rsid w:val="358410FE"/>
    <w:rsid w:val="35929F5D"/>
    <w:rsid w:val="3594DBB7"/>
    <w:rsid w:val="35A3928A"/>
    <w:rsid w:val="35C11D3B"/>
    <w:rsid w:val="35F7A4E0"/>
    <w:rsid w:val="35FC2EE7"/>
    <w:rsid w:val="360219B4"/>
    <w:rsid w:val="364FBBA4"/>
    <w:rsid w:val="3650B4B8"/>
    <w:rsid w:val="36769CE5"/>
    <w:rsid w:val="36884C89"/>
    <w:rsid w:val="368F058B"/>
    <w:rsid w:val="36D37AB8"/>
    <w:rsid w:val="36F3B455"/>
    <w:rsid w:val="370A6122"/>
    <w:rsid w:val="372A6697"/>
    <w:rsid w:val="373D5043"/>
    <w:rsid w:val="373FB1D1"/>
    <w:rsid w:val="37525290"/>
    <w:rsid w:val="37693E46"/>
    <w:rsid w:val="376D8446"/>
    <w:rsid w:val="3785E2B5"/>
    <w:rsid w:val="37A62850"/>
    <w:rsid w:val="3881C2E5"/>
    <w:rsid w:val="3896C16D"/>
    <w:rsid w:val="38996784"/>
    <w:rsid w:val="38B6E17B"/>
    <w:rsid w:val="3902D8CD"/>
    <w:rsid w:val="398F27C2"/>
    <w:rsid w:val="39A99F6C"/>
    <w:rsid w:val="39E2BADD"/>
    <w:rsid w:val="39F15D46"/>
    <w:rsid w:val="3A0DB0D5"/>
    <w:rsid w:val="3A0F80D1"/>
    <w:rsid w:val="3A2A15FE"/>
    <w:rsid w:val="3A46F930"/>
    <w:rsid w:val="3A472A71"/>
    <w:rsid w:val="3A803120"/>
    <w:rsid w:val="3A950C86"/>
    <w:rsid w:val="3A9E777F"/>
    <w:rsid w:val="3AA5B7FC"/>
    <w:rsid w:val="3AB6AA05"/>
    <w:rsid w:val="3B0568F7"/>
    <w:rsid w:val="3B1058A0"/>
    <w:rsid w:val="3B243A55"/>
    <w:rsid w:val="3B48C99F"/>
    <w:rsid w:val="3B922DE2"/>
    <w:rsid w:val="3C227BE8"/>
    <w:rsid w:val="3C3B402C"/>
    <w:rsid w:val="3C42F529"/>
    <w:rsid w:val="3CC740B7"/>
    <w:rsid w:val="3CD14ECB"/>
    <w:rsid w:val="3CE9C7A3"/>
    <w:rsid w:val="3CF91640"/>
    <w:rsid w:val="3CFFAAF4"/>
    <w:rsid w:val="3D0745D4"/>
    <w:rsid w:val="3D4570F1"/>
    <w:rsid w:val="3D512BD8"/>
    <w:rsid w:val="3DB8B9A3"/>
    <w:rsid w:val="3DD07CE9"/>
    <w:rsid w:val="3DD34667"/>
    <w:rsid w:val="3DE1A723"/>
    <w:rsid w:val="3DE34048"/>
    <w:rsid w:val="3E0024EF"/>
    <w:rsid w:val="3E04A25B"/>
    <w:rsid w:val="3E0872AC"/>
    <w:rsid w:val="3E1235EB"/>
    <w:rsid w:val="3E322B3C"/>
    <w:rsid w:val="3E3877AF"/>
    <w:rsid w:val="3E3A4318"/>
    <w:rsid w:val="3E6FDC39"/>
    <w:rsid w:val="3E9235A4"/>
    <w:rsid w:val="3E989269"/>
    <w:rsid w:val="3EA08E55"/>
    <w:rsid w:val="3EA0C843"/>
    <w:rsid w:val="3EA45532"/>
    <w:rsid w:val="3EC84014"/>
    <w:rsid w:val="3EE19845"/>
    <w:rsid w:val="3EEA1985"/>
    <w:rsid w:val="3EEB72B7"/>
    <w:rsid w:val="3F102C88"/>
    <w:rsid w:val="3F141C02"/>
    <w:rsid w:val="3F18FAE8"/>
    <w:rsid w:val="3F2268EB"/>
    <w:rsid w:val="3F285D57"/>
    <w:rsid w:val="3F33348B"/>
    <w:rsid w:val="3F35843A"/>
    <w:rsid w:val="3F6B18C1"/>
    <w:rsid w:val="3F77B810"/>
    <w:rsid w:val="3F79FE73"/>
    <w:rsid w:val="3F9EBB91"/>
    <w:rsid w:val="40062E69"/>
    <w:rsid w:val="401642E4"/>
    <w:rsid w:val="4047D9CB"/>
    <w:rsid w:val="404BF429"/>
    <w:rsid w:val="405851E3"/>
    <w:rsid w:val="4094F678"/>
    <w:rsid w:val="409AAEC2"/>
    <w:rsid w:val="409D4787"/>
    <w:rsid w:val="409FA48A"/>
    <w:rsid w:val="40B840EF"/>
    <w:rsid w:val="4127F908"/>
    <w:rsid w:val="414198B2"/>
    <w:rsid w:val="4141F52A"/>
    <w:rsid w:val="415FE51B"/>
    <w:rsid w:val="4167FB7E"/>
    <w:rsid w:val="416A985A"/>
    <w:rsid w:val="4180B6EE"/>
    <w:rsid w:val="4187BFEC"/>
    <w:rsid w:val="419960C2"/>
    <w:rsid w:val="41AD0C43"/>
    <w:rsid w:val="41AE1424"/>
    <w:rsid w:val="41AE9013"/>
    <w:rsid w:val="41BF64A4"/>
    <w:rsid w:val="41E4E268"/>
    <w:rsid w:val="41F9C175"/>
    <w:rsid w:val="4207CD76"/>
    <w:rsid w:val="420C99CF"/>
    <w:rsid w:val="420CB576"/>
    <w:rsid w:val="4227DD11"/>
    <w:rsid w:val="422992A6"/>
    <w:rsid w:val="42419DD3"/>
    <w:rsid w:val="425B3387"/>
    <w:rsid w:val="425CE580"/>
    <w:rsid w:val="429D3902"/>
    <w:rsid w:val="4319D8A5"/>
    <w:rsid w:val="431E835B"/>
    <w:rsid w:val="4324ED55"/>
    <w:rsid w:val="435DCD31"/>
    <w:rsid w:val="43AE9E0B"/>
    <w:rsid w:val="43BF0984"/>
    <w:rsid w:val="43C60A57"/>
    <w:rsid w:val="43D4705B"/>
    <w:rsid w:val="43E0C6BC"/>
    <w:rsid w:val="43F58B63"/>
    <w:rsid w:val="43F703E8"/>
    <w:rsid w:val="44158FD7"/>
    <w:rsid w:val="4451AD72"/>
    <w:rsid w:val="44731CEE"/>
    <w:rsid w:val="44757A47"/>
    <w:rsid w:val="447777F6"/>
    <w:rsid w:val="448867C0"/>
    <w:rsid w:val="44A8AE14"/>
    <w:rsid w:val="44AA625E"/>
    <w:rsid w:val="44AC51E0"/>
    <w:rsid w:val="44BB59C7"/>
    <w:rsid w:val="44D3EE34"/>
    <w:rsid w:val="44F8BF0C"/>
    <w:rsid w:val="450DA529"/>
    <w:rsid w:val="4520E4FA"/>
    <w:rsid w:val="455541F0"/>
    <w:rsid w:val="455808E6"/>
    <w:rsid w:val="455EA9D0"/>
    <w:rsid w:val="458CB7D7"/>
    <w:rsid w:val="4592DD6F"/>
    <w:rsid w:val="459668DB"/>
    <w:rsid w:val="45A0406B"/>
    <w:rsid w:val="45B05902"/>
    <w:rsid w:val="45E3044E"/>
    <w:rsid w:val="45FF6DD5"/>
    <w:rsid w:val="4617C7D5"/>
    <w:rsid w:val="4640B31D"/>
    <w:rsid w:val="465736E2"/>
    <w:rsid w:val="4668CAA1"/>
    <w:rsid w:val="467EA76D"/>
    <w:rsid w:val="46B9A0BF"/>
    <w:rsid w:val="46BE5353"/>
    <w:rsid w:val="46C609EC"/>
    <w:rsid w:val="46C92B02"/>
    <w:rsid w:val="46EDB865"/>
    <w:rsid w:val="4707C2A7"/>
    <w:rsid w:val="471D9DA0"/>
    <w:rsid w:val="472B7611"/>
    <w:rsid w:val="47369230"/>
    <w:rsid w:val="4744E9AE"/>
    <w:rsid w:val="476CC004"/>
    <w:rsid w:val="477DAE8A"/>
    <w:rsid w:val="47816F45"/>
    <w:rsid w:val="47A39360"/>
    <w:rsid w:val="47D68369"/>
    <w:rsid w:val="480A9114"/>
    <w:rsid w:val="48415FF0"/>
    <w:rsid w:val="484865C8"/>
    <w:rsid w:val="48C23B93"/>
    <w:rsid w:val="48DFEDA6"/>
    <w:rsid w:val="48F63236"/>
    <w:rsid w:val="48F8483E"/>
    <w:rsid w:val="49017E6B"/>
    <w:rsid w:val="49382D5D"/>
    <w:rsid w:val="49520618"/>
    <w:rsid w:val="49549D4F"/>
    <w:rsid w:val="496C36ED"/>
    <w:rsid w:val="496F2CE8"/>
    <w:rsid w:val="4972F615"/>
    <w:rsid w:val="49761559"/>
    <w:rsid w:val="49948805"/>
    <w:rsid w:val="49A2E69E"/>
    <w:rsid w:val="49A5C889"/>
    <w:rsid w:val="49B60450"/>
    <w:rsid w:val="49CA6B74"/>
    <w:rsid w:val="4A30BBE7"/>
    <w:rsid w:val="4A4CAEE9"/>
    <w:rsid w:val="4A528CDE"/>
    <w:rsid w:val="4A6E32F2"/>
    <w:rsid w:val="4A707CF3"/>
    <w:rsid w:val="4A8CC192"/>
    <w:rsid w:val="4AAA3DD7"/>
    <w:rsid w:val="4AAA5C23"/>
    <w:rsid w:val="4AB1FAF1"/>
    <w:rsid w:val="4AC85D4E"/>
    <w:rsid w:val="4ACCFABD"/>
    <w:rsid w:val="4AF08545"/>
    <w:rsid w:val="4AF6DC45"/>
    <w:rsid w:val="4B032F3B"/>
    <w:rsid w:val="4B0EAD99"/>
    <w:rsid w:val="4B0F243A"/>
    <w:rsid w:val="4B29E13E"/>
    <w:rsid w:val="4B703481"/>
    <w:rsid w:val="4B721F8C"/>
    <w:rsid w:val="4B872BC0"/>
    <w:rsid w:val="4B969309"/>
    <w:rsid w:val="4B9A95B8"/>
    <w:rsid w:val="4B9EA0C3"/>
    <w:rsid w:val="4BEDEE2E"/>
    <w:rsid w:val="4BFF08B1"/>
    <w:rsid w:val="4C175025"/>
    <w:rsid w:val="4C24DA40"/>
    <w:rsid w:val="4C355713"/>
    <w:rsid w:val="4C811838"/>
    <w:rsid w:val="4C833579"/>
    <w:rsid w:val="4CC41A19"/>
    <w:rsid w:val="4CF9FD09"/>
    <w:rsid w:val="4CFE7137"/>
    <w:rsid w:val="4D174CDE"/>
    <w:rsid w:val="4D2488AF"/>
    <w:rsid w:val="4D2ACE90"/>
    <w:rsid w:val="4D40A35E"/>
    <w:rsid w:val="4D659B01"/>
    <w:rsid w:val="4D76C6D7"/>
    <w:rsid w:val="4DA8FE4C"/>
    <w:rsid w:val="4DEAEFF1"/>
    <w:rsid w:val="4DF0AFF4"/>
    <w:rsid w:val="4E178709"/>
    <w:rsid w:val="4E250840"/>
    <w:rsid w:val="4E34B8C5"/>
    <w:rsid w:val="4E3E8CEB"/>
    <w:rsid w:val="4E40375B"/>
    <w:rsid w:val="4E496E1A"/>
    <w:rsid w:val="4E5D8EF7"/>
    <w:rsid w:val="4E68FC03"/>
    <w:rsid w:val="4E6C55BF"/>
    <w:rsid w:val="4E794B69"/>
    <w:rsid w:val="4EB4894F"/>
    <w:rsid w:val="4EB6DE56"/>
    <w:rsid w:val="4ED564B8"/>
    <w:rsid w:val="4EE76E88"/>
    <w:rsid w:val="4F1F1BBA"/>
    <w:rsid w:val="4F3A65CF"/>
    <w:rsid w:val="4F41F2D1"/>
    <w:rsid w:val="4F4D1738"/>
    <w:rsid w:val="4F585D91"/>
    <w:rsid w:val="4F62EEA4"/>
    <w:rsid w:val="4F78D575"/>
    <w:rsid w:val="4F80BDEC"/>
    <w:rsid w:val="4F884F5D"/>
    <w:rsid w:val="4FA40A39"/>
    <w:rsid w:val="4FB5726A"/>
    <w:rsid w:val="4FB7C631"/>
    <w:rsid w:val="4FE4E4F4"/>
    <w:rsid w:val="4FEE4EC9"/>
    <w:rsid w:val="4FFF6C2E"/>
    <w:rsid w:val="50000EC2"/>
    <w:rsid w:val="5005A22C"/>
    <w:rsid w:val="50151BCA"/>
    <w:rsid w:val="5021311D"/>
    <w:rsid w:val="503FE1DA"/>
    <w:rsid w:val="50477143"/>
    <w:rsid w:val="50D3E570"/>
    <w:rsid w:val="50D9F848"/>
    <w:rsid w:val="513D1CB9"/>
    <w:rsid w:val="5148A103"/>
    <w:rsid w:val="516AF75A"/>
    <w:rsid w:val="518E05E7"/>
    <w:rsid w:val="51AA8809"/>
    <w:rsid w:val="51CEC6DF"/>
    <w:rsid w:val="51DA5AB5"/>
    <w:rsid w:val="52124EF1"/>
    <w:rsid w:val="521BEBF6"/>
    <w:rsid w:val="52378FED"/>
    <w:rsid w:val="528425BF"/>
    <w:rsid w:val="528A32AF"/>
    <w:rsid w:val="52CF7E63"/>
    <w:rsid w:val="52F4CB85"/>
    <w:rsid w:val="5300E17E"/>
    <w:rsid w:val="53036963"/>
    <w:rsid w:val="53660A04"/>
    <w:rsid w:val="537B1A06"/>
    <w:rsid w:val="53C4C194"/>
    <w:rsid w:val="53D40A34"/>
    <w:rsid w:val="54053913"/>
    <w:rsid w:val="542224A2"/>
    <w:rsid w:val="543BC913"/>
    <w:rsid w:val="54657AE2"/>
    <w:rsid w:val="546600D6"/>
    <w:rsid w:val="5469B0EB"/>
    <w:rsid w:val="549248AD"/>
    <w:rsid w:val="549CEBB9"/>
    <w:rsid w:val="54B480D8"/>
    <w:rsid w:val="54B56129"/>
    <w:rsid w:val="54E2276B"/>
    <w:rsid w:val="551A6989"/>
    <w:rsid w:val="55497B09"/>
    <w:rsid w:val="55726889"/>
    <w:rsid w:val="55A079F8"/>
    <w:rsid w:val="55AB9E7A"/>
    <w:rsid w:val="55AED1D1"/>
    <w:rsid w:val="55CF6E8C"/>
    <w:rsid w:val="55D8A380"/>
    <w:rsid w:val="5616FD58"/>
    <w:rsid w:val="564A2402"/>
    <w:rsid w:val="56596C7D"/>
    <w:rsid w:val="5680EB17"/>
    <w:rsid w:val="5684E9D2"/>
    <w:rsid w:val="569B488E"/>
    <w:rsid w:val="56AAB99C"/>
    <w:rsid w:val="56B72FFE"/>
    <w:rsid w:val="56BCF1EA"/>
    <w:rsid w:val="56C163AA"/>
    <w:rsid w:val="56D5EFBB"/>
    <w:rsid w:val="56FB604A"/>
    <w:rsid w:val="5701E707"/>
    <w:rsid w:val="5702AC48"/>
    <w:rsid w:val="5708D258"/>
    <w:rsid w:val="57146A97"/>
    <w:rsid w:val="571BBC69"/>
    <w:rsid w:val="571F67C5"/>
    <w:rsid w:val="57643CA9"/>
    <w:rsid w:val="57AD2021"/>
    <w:rsid w:val="57B72AB3"/>
    <w:rsid w:val="57C17298"/>
    <w:rsid w:val="57D41F58"/>
    <w:rsid w:val="581974F1"/>
    <w:rsid w:val="5832BC3A"/>
    <w:rsid w:val="583CDDD6"/>
    <w:rsid w:val="584A1F3D"/>
    <w:rsid w:val="58679FB3"/>
    <w:rsid w:val="588143A5"/>
    <w:rsid w:val="5898EA3A"/>
    <w:rsid w:val="58A28BBF"/>
    <w:rsid w:val="58B20773"/>
    <w:rsid w:val="58B60910"/>
    <w:rsid w:val="593758E9"/>
    <w:rsid w:val="5975020F"/>
    <w:rsid w:val="59842525"/>
    <w:rsid w:val="599BA50F"/>
    <w:rsid w:val="59C131F2"/>
    <w:rsid w:val="59C66807"/>
    <w:rsid w:val="59F20978"/>
    <w:rsid w:val="59F3FE42"/>
    <w:rsid w:val="5A013FCB"/>
    <w:rsid w:val="5A16DFA7"/>
    <w:rsid w:val="5A4FDDAF"/>
    <w:rsid w:val="5A79CB2E"/>
    <w:rsid w:val="5A84439F"/>
    <w:rsid w:val="5A8663A3"/>
    <w:rsid w:val="5A8B20EF"/>
    <w:rsid w:val="5AC3799B"/>
    <w:rsid w:val="5AC8E5BF"/>
    <w:rsid w:val="5AD3A0F1"/>
    <w:rsid w:val="5AF6C479"/>
    <w:rsid w:val="5AFCB121"/>
    <w:rsid w:val="5B2A3ACA"/>
    <w:rsid w:val="5B2B4B7A"/>
    <w:rsid w:val="5B311B1C"/>
    <w:rsid w:val="5B34E82D"/>
    <w:rsid w:val="5B355D12"/>
    <w:rsid w:val="5B381E8D"/>
    <w:rsid w:val="5B66D1A2"/>
    <w:rsid w:val="5B6E1050"/>
    <w:rsid w:val="5B6F25A5"/>
    <w:rsid w:val="5B796EB8"/>
    <w:rsid w:val="5B83D632"/>
    <w:rsid w:val="5B880921"/>
    <w:rsid w:val="5B9C22F4"/>
    <w:rsid w:val="5BD1C7BC"/>
    <w:rsid w:val="5BE42331"/>
    <w:rsid w:val="5C0921D7"/>
    <w:rsid w:val="5C1DAD7F"/>
    <w:rsid w:val="5C28AB20"/>
    <w:rsid w:val="5C3CEF65"/>
    <w:rsid w:val="5C662F85"/>
    <w:rsid w:val="5C90D861"/>
    <w:rsid w:val="5CBE4030"/>
    <w:rsid w:val="5CD8A614"/>
    <w:rsid w:val="5CDD7E26"/>
    <w:rsid w:val="5D13A58E"/>
    <w:rsid w:val="5D15CE20"/>
    <w:rsid w:val="5D97742D"/>
    <w:rsid w:val="5DA2CF21"/>
    <w:rsid w:val="5DA4E0F9"/>
    <w:rsid w:val="5DAF8628"/>
    <w:rsid w:val="5DC3B7DC"/>
    <w:rsid w:val="5E034D7E"/>
    <w:rsid w:val="5E07C0E5"/>
    <w:rsid w:val="5E12AEE7"/>
    <w:rsid w:val="5E2661F4"/>
    <w:rsid w:val="5E3F212F"/>
    <w:rsid w:val="5E6C413F"/>
    <w:rsid w:val="5E772EF3"/>
    <w:rsid w:val="5E9C74AF"/>
    <w:rsid w:val="5EB050EE"/>
    <w:rsid w:val="5EB4FC8A"/>
    <w:rsid w:val="5EC15CAA"/>
    <w:rsid w:val="5EC65639"/>
    <w:rsid w:val="5EC9D225"/>
    <w:rsid w:val="5ED34F66"/>
    <w:rsid w:val="5F1C5B44"/>
    <w:rsid w:val="5F3AB57D"/>
    <w:rsid w:val="5F4D1D1D"/>
    <w:rsid w:val="5FB7C7A8"/>
    <w:rsid w:val="5FFC7554"/>
    <w:rsid w:val="6032F742"/>
    <w:rsid w:val="6050166E"/>
    <w:rsid w:val="60733BA8"/>
    <w:rsid w:val="607D8C91"/>
    <w:rsid w:val="608EF8B1"/>
    <w:rsid w:val="60BA7DBD"/>
    <w:rsid w:val="60C13805"/>
    <w:rsid w:val="60E1EDF6"/>
    <w:rsid w:val="60EFC28B"/>
    <w:rsid w:val="60F27AA9"/>
    <w:rsid w:val="60F935FC"/>
    <w:rsid w:val="610DEA42"/>
    <w:rsid w:val="611720CF"/>
    <w:rsid w:val="6136AC81"/>
    <w:rsid w:val="61431149"/>
    <w:rsid w:val="61A66769"/>
    <w:rsid w:val="61E3EE18"/>
    <w:rsid w:val="61EE296B"/>
    <w:rsid w:val="6217CCFB"/>
    <w:rsid w:val="6229A74D"/>
    <w:rsid w:val="623400EB"/>
    <w:rsid w:val="625BB287"/>
    <w:rsid w:val="6296E94D"/>
    <w:rsid w:val="62A9CEB8"/>
    <w:rsid w:val="62AA13F3"/>
    <w:rsid w:val="62BD4E00"/>
    <w:rsid w:val="62D1CEDF"/>
    <w:rsid w:val="62F4AE4E"/>
    <w:rsid w:val="633A5926"/>
    <w:rsid w:val="6342D626"/>
    <w:rsid w:val="63564415"/>
    <w:rsid w:val="635FA03B"/>
    <w:rsid w:val="636A8950"/>
    <w:rsid w:val="636F10ED"/>
    <w:rsid w:val="636FB8B8"/>
    <w:rsid w:val="63778C82"/>
    <w:rsid w:val="6396234C"/>
    <w:rsid w:val="63C73CF2"/>
    <w:rsid w:val="6407573E"/>
    <w:rsid w:val="6408F586"/>
    <w:rsid w:val="640947B7"/>
    <w:rsid w:val="640FFE28"/>
    <w:rsid w:val="642221E1"/>
    <w:rsid w:val="642857BD"/>
    <w:rsid w:val="643F5845"/>
    <w:rsid w:val="6453731E"/>
    <w:rsid w:val="646DDCBF"/>
    <w:rsid w:val="647F2A5B"/>
    <w:rsid w:val="648D1E67"/>
    <w:rsid w:val="64D498D7"/>
    <w:rsid w:val="64EE8D52"/>
    <w:rsid w:val="64F9EFAC"/>
    <w:rsid w:val="65127050"/>
    <w:rsid w:val="651E5E28"/>
    <w:rsid w:val="651F9272"/>
    <w:rsid w:val="652A478B"/>
    <w:rsid w:val="652CAC6F"/>
    <w:rsid w:val="65432A7E"/>
    <w:rsid w:val="656A2257"/>
    <w:rsid w:val="65C76DA9"/>
    <w:rsid w:val="65D056EB"/>
    <w:rsid w:val="65DD2C84"/>
    <w:rsid w:val="660E223E"/>
    <w:rsid w:val="663C2502"/>
    <w:rsid w:val="664030BE"/>
    <w:rsid w:val="664AD21C"/>
    <w:rsid w:val="6656EBB5"/>
    <w:rsid w:val="66887B9C"/>
    <w:rsid w:val="6689E2A7"/>
    <w:rsid w:val="66AA27FC"/>
    <w:rsid w:val="66B4891F"/>
    <w:rsid w:val="66DC3A52"/>
    <w:rsid w:val="66E36362"/>
    <w:rsid w:val="678D0482"/>
    <w:rsid w:val="679566EC"/>
    <w:rsid w:val="67C4474A"/>
    <w:rsid w:val="680C0B8F"/>
    <w:rsid w:val="683C307C"/>
    <w:rsid w:val="687033B4"/>
    <w:rsid w:val="68869222"/>
    <w:rsid w:val="6888A6FD"/>
    <w:rsid w:val="68A6C958"/>
    <w:rsid w:val="68E39D21"/>
    <w:rsid w:val="691F4E01"/>
    <w:rsid w:val="6933C432"/>
    <w:rsid w:val="6936675E"/>
    <w:rsid w:val="69511F56"/>
    <w:rsid w:val="6954CD47"/>
    <w:rsid w:val="6970F845"/>
    <w:rsid w:val="697C545F"/>
    <w:rsid w:val="69D5DFD1"/>
    <w:rsid w:val="69D76310"/>
    <w:rsid w:val="69E0EC6A"/>
    <w:rsid w:val="6A252C67"/>
    <w:rsid w:val="6A264E1B"/>
    <w:rsid w:val="6A4CCCB0"/>
    <w:rsid w:val="6A962CFF"/>
    <w:rsid w:val="6AA2973C"/>
    <w:rsid w:val="6AACA49C"/>
    <w:rsid w:val="6AE0C4AB"/>
    <w:rsid w:val="6B21B42B"/>
    <w:rsid w:val="6B492026"/>
    <w:rsid w:val="6B558577"/>
    <w:rsid w:val="6B7A3E45"/>
    <w:rsid w:val="6B96C17C"/>
    <w:rsid w:val="6BECF8BD"/>
    <w:rsid w:val="6C24B21E"/>
    <w:rsid w:val="6C29A736"/>
    <w:rsid w:val="6C4237D6"/>
    <w:rsid w:val="6C50FE57"/>
    <w:rsid w:val="6C60613D"/>
    <w:rsid w:val="6C638E65"/>
    <w:rsid w:val="6C6BEA50"/>
    <w:rsid w:val="6C81466A"/>
    <w:rsid w:val="6C820D4A"/>
    <w:rsid w:val="6CAD4A14"/>
    <w:rsid w:val="6CB9D358"/>
    <w:rsid w:val="6CC42B02"/>
    <w:rsid w:val="6D079D45"/>
    <w:rsid w:val="6D0C5270"/>
    <w:rsid w:val="6D104CC9"/>
    <w:rsid w:val="6D39E6F0"/>
    <w:rsid w:val="6D4CFC22"/>
    <w:rsid w:val="6D4F2678"/>
    <w:rsid w:val="6D86165D"/>
    <w:rsid w:val="6D9932A7"/>
    <w:rsid w:val="6DC176EE"/>
    <w:rsid w:val="6DE797EA"/>
    <w:rsid w:val="6E051630"/>
    <w:rsid w:val="6E064AD2"/>
    <w:rsid w:val="6E1581B1"/>
    <w:rsid w:val="6E363CA9"/>
    <w:rsid w:val="6E3678BE"/>
    <w:rsid w:val="6E402D57"/>
    <w:rsid w:val="6E547903"/>
    <w:rsid w:val="6E907612"/>
    <w:rsid w:val="6EB1EB34"/>
    <w:rsid w:val="6EFB5519"/>
    <w:rsid w:val="6F002405"/>
    <w:rsid w:val="6F2230B2"/>
    <w:rsid w:val="6F25D6B5"/>
    <w:rsid w:val="6F3D0E19"/>
    <w:rsid w:val="6F45018C"/>
    <w:rsid w:val="6F5025A1"/>
    <w:rsid w:val="6F530AEF"/>
    <w:rsid w:val="6F5D474F"/>
    <w:rsid w:val="6F719EE2"/>
    <w:rsid w:val="6F79158C"/>
    <w:rsid w:val="6FE1596D"/>
    <w:rsid w:val="700374DB"/>
    <w:rsid w:val="7013727E"/>
    <w:rsid w:val="70298614"/>
    <w:rsid w:val="7037353D"/>
    <w:rsid w:val="705D7E8B"/>
    <w:rsid w:val="70955EC7"/>
    <w:rsid w:val="70A354A5"/>
    <w:rsid w:val="70E617D8"/>
    <w:rsid w:val="70FE7647"/>
    <w:rsid w:val="70FEEC6B"/>
    <w:rsid w:val="71205133"/>
    <w:rsid w:val="712C5C84"/>
    <w:rsid w:val="712E34BD"/>
    <w:rsid w:val="712EC7A5"/>
    <w:rsid w:val="716168E9"/>
    <w:rsid w:val="7172C2DF"/>
    <w:rsid w:val="7177B0DB"/>
    <w:rsid w:val="71871024"/>
    <w:rsid w:val="7190F036"/>
    <w:rsid w:val="71972A81"/>
    <w:rsid w:val="71EB8EEA"/>
    <w:rsid w:val="71F33007"/>
    <w:rsid w:val="721C2763"/>
    <w:rsid w:val="722FD4F7"/>
    <w:rsid w:val="723B1226"/>
    <w:rsid w:val="72574E47"/>
    <w:rsid w:val="72687E83"/>
    <w:rsid w:val="726BC39C"/>
    <w:rsid w:val="72757D44"/>
    <w:rsid w:val="7287C5EF"/>
    <w:rsid w:val="729CD597"/>
    <w:rsid w:val="72A6A328"/>
    <w:rsid w:val="72B85C50"/>
    <w:rsid w:val="734149A6"/>
    <w:rsid w:val="7349725F"/>
    <w:rsid w:val="7374B68E"/>
    <w:rsid w:val="737E275B"/>
    <w:rsid w:val="73854E66"/>
    <w:rsid w:val="7388AB04"/>
    <w:rsid w:val="7398FB7D"/>
    <w:rsid w:val="73ABB714"/>
    <w:rsid w:val="73BAC70C"/>
    <w:rsid w:val="73C117D6"/>
    <w:rsid w:val="73CE94C8"/>
    <w:rsid w:val="73EC5BC4"/>
    <w:rsid w:val="741D31C2"/>
    <w:rsid w:val="7421BB16"/>
    <w:rsid w:val="743FC963"/>
    <w:rsid w:val="7462D53D"/>
    <w:rsid w:val="74633B7D"/>
    <w:rsid w:val="747743C3"/>
    <w:rsid w:val="749B9792"/>
    <w:rsid w:val="74DE32EF"/>
    <w:rsid w:val="74DE6098"/>
    <w:rsid w:val="7542600A"/>
    <w:rsid w:val="7568B07C"/>
    <w:rsid w:val="75835CE5"/>
    <w:rsid w:val="759232D3"/>
    <w:rsid w:val="7593077D"/>
    <w:rsid w:val="759B3F42"/>
    <w:rsid w:val="75BA301E"/>
    <w:rsid w:val="75D72303"/>
    <w:rsid w:val="75F945EB"/>
    <w:rsid w:val="761E0006"/>
    <w:rsid w:val="762C0D3C"/>
    <w:rsid w:val="76558410"/>
    <w:rsid w:val="76639EE9"/>
    <w:rsid w:val="768438BB"/>
    <w:rsid w:val="771859A5"/>
    <w:rsid w:val="77320902"/>
    <w:rsid w:val="776E4726"/>
    <w:rsid w:val="7770D17E"/>
    <w:rsid w:val="777A6529"/>
    <w:rsid w:val="77C32B0E"/>
    <w:rsid w:val="77C8B55B"/>
    <w:rsid w:val="77D3A95C"/>
    <w:rsid w:val="77F1821D"/>
    <w:rsid w:val="77F2B689"/>
    <w:rsid w:val="77F536F2"/>
    <w:rsid w:val="782AC719"/>
    <w:rsid w:val="783E12A5"/>
    <w:rsid w:val="785225AC"/>
    <w:rsid w:val="785C3951"/>
    <w:rsid w:val="7865A08F"/>
    <w:rsid w:val="787D5958"/>
    <w:rsid w:val="7886E718"/>
    <w:rsid w:val="78EB9D06"/>
    <w:rsid w:val="790A8BAC"/>
    <w:rsid w:val="7920F966"/>
    <w:rsid w:val="796945AD"/>
    <w:rsid w:val="7991108A"/>
    <w:rsid w:val="79F582EB"/>
    <w:rsid w:val="79FB83C3"/>
    <w:rsid w:val="7A03BD6A"/>
    <w:rsid w:val="7A09DE81"/>
    <w:rsid w:val="7A58136C"/>
    <w:rsid w:val="7AAC3506"/>
    <w:rsid w:val="7AE878C9"/>
    <w:rsid w:val="7B7AD4E9"/>
    <w:rsid w:val="7B885E0A"/>
    <w:rsid w:val="7BE22350"/>
    <w:rsid w:val="7C828012"/>
    <w:rsid w:val="7C837C81"/>
    <w:rsid w:val="7C855FAE"/>
    <w:rsid w:val="7C89DCC1"/>
    <w:rsid w:val="7CD5EEF4"/>
    <w:rsid w:val="7D10DD59"/>
    <w:rsid w:val="7D128F1B"/>
    <w:rsid w:val="7D483C6E"/>
    <w:rsid w:val="7D7271A6"/>
    <w:rsid w:val="7D810B16"/>
    <w:rsid w:val="7DB26944"/>
    <w:rsid w:val="7DD12C5D"/>
    <w:rsid w:val="7E25AD22"/>
    <w:rsid w:val="7E372DE5"/>
    <w:rsid w:val="7E6BF859"/>
    <w:rsid w:val="7E6DC307"/>
    <w:rsid w:val="7E6EA0FE"/>
    <w:rsid w:val="7E743730"/>
    <w:rsid w:val="7E82944E"/>
    <w:rsid w:val="7E9288AA"/>
    <w:rsid w:val="7E93C096"/>
    <w:rsid w:val="7EA2704F"/>
    <w:rsid w:val="7EB0C0E9"/>
    <w:rsid w:val="7ED5D9B1"/>
    <w:rsid w:val="7F02F374"/>
    <w:rsid w:val="7F371E7F"/>
    <w:rsid w:val="7F70ED26"/>
    <w:rsid w:val="7FBFDDD3"/>
    <w:rsid w:val="7FC617CF"/>
    <w:rsid w:val="7FD786CD"/>
    <w:rsid w:val="7FE304CC"/>
    <w:rsid w:val="7FF6AE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1B337"/>
  <w15:chartTrackingRefBased/>
  <w15:docId w15:val="{227A5842-1164-4575-B9B3-BB37443D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D85"/>
    <w:rPr>
      <w:kern w:val="0"/>
      <w14:ligatures w14:val="none"/>
    </w:rPr>
  </w:style>
  <w:style w:type="paragraph" w:styleId="Heading1">
    <w:name w:val="heading 1"/>
    <w:basedOn w:val="Normal"/>
    <w:next w:val="Normal"/>
    <w:link w:val="Heading1Char"/>
    <w:uiPriority w:val="9"/>
    <w:qFormat/>
    <w:rsid w:val="00995FFF"/>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5FFF"/>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7CE0"/>
    <w:pPr>
      <w:keepNext/>
      <w:keepLines/>
      <w:numPr>
        <w:ilvl w:val="2"/>
        <w:numId w:val="7"/>
      </w:numPr>
      <w:spacing w:after="0" w:line="240" w:lineRule="auto"/>
      <w:ind w:left="1004" w:hanging="284"/>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7458D"/>
    <w:pPr>
      <w:keepNext/>
      <w:keepLines/>
      <w:numPr>
        <w:ilvl w:val="3"/>
        <w:numId w:val="7"/>
      </w:numPr>
      <w:spacing w:after="0" w:line="240" w:lineRule="auto"/>
      <w:ind w:left="1724" w:hanging="28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866"/>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0866"/>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0866"/>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086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086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FFF"/>
    <w:rPr>
      <w:rFonts w:asciiTheme="majorHAnsi" w:eastAsiaTheme="majorEastAsia" w:hAnsiTheme="majorHAnsi" w:cstheme="majorBidi"/>
      <w:color w:val="2F5496" w:themeColor="accent1" w:themeShade="BF"/>
      <w:kern w:val="0"/>
      <w:sz w:val="32"/>
      <w:szCs w:val="32"/>
      <w14:ligatures w14:val="none"/>
    </w:rPr>
  </w:style>
  <w:style w:type="paragraph" w:styleId="Subtitle">
    <w:name w:val="Subtitle"/>
    <w:basedOn w:val="Normal"/>
    <w:next w:val="Normal"/>
    <w:link w:val="SubtitleChar"/>
    <w:uiPriority w:val="11"/>
    <w:qFormat/>
    <w:rsid w:val="00995FF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95FFF"/>
    <w:rPr>
      <w:rFonts w:eastAsiaTheme="minorEastAsia"/>
      <w:color w:val="5A5A5A" w:themeColor="text1" w:themeTint="A5"/>
      <w:spacing w:val="15"/>
      <w:kern w:val="0"/>
      <w14:ligatures w14:val="none"/>
    </w:rPr>
  </w:style>
  <w:style w:type="character" w:customStyle="1" w:styleId="Heading2Char">
    <w:name w:val="Heading 2 Char"/>
    <w:basedOn w:val="DefaultParagraphFont"/>
    <w:link w:val="Heading2"/>
    <w:uiPriority w:val="9"/>
    <w:rsid w:val="00995FFF"/>
    <w:rPr>
      <w:rFonts w:asciiTheme="majorHAnsi" w:eastAsiaTheme="majorEastAsia" w:hAnsiTheme="majorHAnsi" w:cstheme="majorBidi"/>
      <w:color w:val="2F5496" w:themeColor="accent1" w:themeShade="BF"/>
      <w:kern w:val="0"/>
      <w:sz w:val="26"/>
      <w:szCs w:val="26"/>
      <w14:ligatures w14:val="none"/>
    </w:rPr>
  </w:style>
  <w:style w:type="paragraph" w:styleId="Title">
    <w:name w:val="Title"/>
    <w:basedOn w:val="Normal"/>
    <w:next w:val="Normal"/>
    <w:link w:val="TitleChar"/>
    <w:uiPriority w:val="10"/>
    <w:qFormat/>
    <w:rsid w:val="00995F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5FFF"/>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link w:val="ListParagraphChar"/>
    <w:uiPriority w:val="34"/>
    <w:qFormat/>
    <w:rsid w:val="00995FFF"/>
    <w:pPr>
      <w:ind w:left="720"/>
      <w:contextualSpacing/>
    </w:pPr>
  </w:style>
  <w:style w:type="table" w:styleId="TableGrid">
    <w:name w:val="Table Grid"/>
    <w:basedOn w:val="TableNormal"/>
    <w:uiPriority w:val="39"/>
    <w:rsid w:val="00AB3D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27CE0"/>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37458D"/>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A0866"/>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A0866"/>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6A0866"/>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6A0866"/>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6A0866"/>
    <w:rPr>
      <w:rFonts w:asciiTheme="majorHAnsi" w:eastAsiaTheme="majorEastAsia" w:hAnsiTheme="majorHAnsi" w:cstheme="majorBidi"/>
      <w:i/>
      <w:iCs/>
      <w:color w:val="272727" w:themeColor="text1" w:themeTint="D8"/>
      <w:kern w:val="0"/>
      <w:sz w:val="21"/>
      <w:szCs w:val="21"/>
      <w14:ligatures w14:val="none"/>
    </w:rPr>
  </w:style>
  <w:style w:type="paragraph" w:styleId="Header">
    <w:name w:val="header"/>
    <w:basedOn w:val="Normal"/>
    <w:link w:val="HeaderChar"/>
    <w:uiPriority w:val="99"/>
    <w:unhideWhenUsed/>
    <w:rsid w:val="00907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DC4"/>
    <w:rPr>
      <w:kern w:val="0"/>
      <w14:ligatures w14:val="none"/>
    </w:rPr>
  </w:style>
  <w:style w:type="paragraph" w:styleId="Footer">
    <w:name w:val="footer"/>
    <w:basedOn w:val="Normal"/>
    <w:link w:val="FooterChar"/>
    <w:uiPriority w:val="99"/>
    <w:unhideWhenUsed/>
    <w:rsid w:val="00907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DC4"/>
    <w:rPr>
      <w:kern w:val="0"/>
      <w14:ligatures w14:val="none"/>
    </w:rPr>
  </w:style>
  <w:style w:type="paragraph" w:styleId="FootnoteText">
    <w:name w:val="footnote text"/>
    <w:aliases w:val="ALTS FOOTNOTE,Boston 10,FOOTNOTES,Font: Geneva 9,Footnote Text Char1 Char Char,Footnote Text Char1 Char Char Char Char,Footnote Text Char2 Char,Footnote Text Char2 Char Char Char,Geneva 9,WB-Fußnotentext,f,fn,footnote text,ft,single space"/>
    <w:basedOn w:val="Normal"/>
    <w:link w:val="FootnoteTextChar"/>
    <w:uiPriority w:val="99"/>
    <w:unhideWhenUsed/>
    <w:qFormat/>
    <w:rsid w:val="001554A0"/>
    <w:pPr>
      <w:spacing w:after="0" w:line="240" w:lineRule="auto"/>
    </w:pPr>
    <w:rPr>
      <w:kern w:val="2"/>
      <w:sz w:val="20"/>
      <w:szCs w:val="20"/>
      <w14:ligatures w14:val="standardContextual"/>
    </w:rPr>
  </w:style>
  <w:style w:type="character" w:customStyle="1" w:styleId="FootnoteTextChar">
    <w:name w:val="Footnote Text Char"/>
    <w:aliases w:val="ALTS FOOTNOTE Char,Boston 10 Char,FOOTNOTES Char,Font: Geneva 9 Char,Footnote Text Char1 Char Char Char,Footnote Text Char1 Char Char Char Char Char,Footnote Text Char2 Char Char,Footnote Text Char2 Char Char Char Char,Geneva 9 Char"/>
    <w:basedOn w:val="DefaultParagraphFont"/>
    <w:link w:val="FootnoteText"/>
    <w:uiPriority w:val="99"/>
    <w:qFormat/>
    <w:rsid w:val="001554A0"/>
    <w:rPr>
      <w:sz w:val="20"/>
      <w:szCs w:val="20"/>
    </w:rPr>
  </w:style>
  <w:style w:type="character" w:styleId="FootnoteReference">
    <w:name w:val="footnote reference"/>
    <w:aliases w:val="ftref,Footnote Reference Number,BVI fnr,Error-Fußnotenzeichen5,Error-Fußnotenzeichen6,Error-Fußnotenzeichen3,Footnote Reference1,Error-Fu?notenzeichen5,Error-Fu?notenzeichen6,Error-Fu?notenzeichen3,referencia nota al pie,Ref,16 Point"/>
    <w:basedOn w:val="DefaultParagraphFont"/>
    <w:link w:val="BVIfnrCharCharCharCharCharChar1CharCharCharCharCharChar"/>
    <w:uiPriority w:val="99"/>
    <w:unhideWhenUsed/>
    <w:qFormat/>
    <w:rsid w:val="001554A0"/>
    <w:rPr>
      <w:vertAlign w:val="superscript"/>
    </w:rPr>
  </w:style>
  <w:style w:type="character" w:styleId="Hyperlink">
    <w:name w:val="Hyperlink"/>
    <w:basedOn w:val="DefaultParagraphFont"/>
    <w:uiPriority w:val="99"/>
    <w:unhideWhenUsed/>
    <w:rsid w:val="00813AFC"/>
    <w:rPr>
      <w:color w:val="0563C1" w:themeColor="hyperlink"/>
      <w:u w:val="single"/>
    </w:rPr>
  </w:style>
  <w:style w:type="table" w:customStyle="1" w:styleId="TableGrid1">
    <w:name w:val="Table Grid1"/>
    <w:basedOn w:val="TableNormal"/>
    <w:next w:val="TableGrid"/>
    <w:uiPriority w:val="39"/>
    <w:rsid w:val="0081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771BE"/>
  </w:style>
  <w:style w:type="character" w:styleId="CommentReference">
    <w:name w:val="annotation reference"/>
    <w:basedOn w:val="DefaultParagraphFont"/>
    <w:uiPriority w:val="99"/>
    <w:unhideWhenUsed/>
    <w:rsid w:val="007771BE"/>
    <w:rPr>
      <w:sz w:val="16"/>
      <w:szCs w:val="16"/>
    </w:rPr>
  </w:style>
  <w:style w:type="paragraph" w:styleId="CommentText">
    <w:name w:val="annotation text"/>
    <w:basedOn w:val="Normal"/>
    <w:link w:val="CommentTextChar"/>
    <w:uiPriority w:val="99"/>
    <w:unhideWhenUsed/>
    <w:rsid w:val="007771BE"/>
    <w:pPr>
      <w:spacing w:line="240" w:lineRule="auto"/>
    </w:pPr>
    <w:rPr>
      <w:sz w:val="20"/>
      <w:szCs w:val="20"/>
    </w:rPr>
  </w:style>
  <w:style w:type="character" w:customStyle="1" w:styleId="CommentTextChar">
    <w:name w:val="Comment Text Char"/>
    <w:basedOn w:val="DefaultParagraphFont"/>
    <w:link w:val="CommentText"/>
    <w:uiPriority w:val="99"/>
    <w:rsid w:val="007771BE"/>
    <w:rPr>
      <w:kern w:val="0"/>
      <w:sz w:val="20"/>
      <w:szCs w:val="20"/>
      <w14:ligatures w14:val="none"/>
    </w:rPr>
  </w:style>
  <w:style w:type="character" w:customStyle="1" w:styleId="ListParagraphChar">
    <w:name w:val="List Paragraph Char"/>
    <w:basedOn w:val="DefaultParagraphFont"/>
    <w:link w:val="ListParagraph"/>
    <w:uiPriority w:val="34"/>
    <w:rsid w:val="007771BE"/>
    <w:rPr>
      <w:kern w:val="0"/>
      <w14:ligatures w14:val="none"/>
    </w:rPr>
  </w:style>
  <w:style w:type="character" w:customStyle="1" w:styleId="cf01">
    <w:name w:val="cf01"/>
    <w:basedOn w:val="DefaultParagraphFont"/>
    <w:rsid w:val="007771BE"/>
    <w:rPr>
      <w:rFonts w:ascii="Segoe UI" w:hAnsi="Segoe UI" w:cs="Segoe UI" w:hint="default"/>
      <w:sz w:val="18"/>
      <w:szCs w:val="18"/>
    </w:rPr>
  </w:style>
  <w:style w:type="table" w:customStyle="1" w:styleId="TableGrid2">
    <w:name w:val="Table Grid2"/>
    <w:basedOn w:val="TableNormal"/>
    <w:next w:val="TableGrid"/>
    <w:uiPriority w:val="39"/>
    <w:rsid w:val="006C5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968B4"/>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C64B6D"/>
    <w:rPr>
      <w:b/>
      <w:bCs/>
    </w:rPr>
  </w:style>
  <w:style w:type="character" w:customStyle="1" w:styleId="CommentSubjectChar">
    <w:name w:val="Comment Subject Char"/>
    <w:basedOn w:val="CommentTextChar"/>
    <w:link w:val="CommentSubject"/>
    <w:uiPriority w:val="99"/>
    <w:semiHidden/>
    <w:rsid w:val="00C64B6D"/>
    <w:rPr>
      <w:b/>
      <w:bCs/>
      <w:kern w:val="0"/>
      <w:sz w:val="20"/>
      <w:szCs w:val="20"/>
      <w14:ligatures w14:val="none"/>
    </w:rPr>
  </w:style>
  <w:style w:type="character" w:customStyle="1" w:styleId="BodyTextChar1">
    <w:name w:val="Body Text Char1"/>
    <w:link w:val="BodyText"/>
    <w:uiPriority w:val="99"/>
    <w:rsid w:val="00E844CB"/>
    <w:rPr>
      <w:rFonts w:ascii="Times New Roman" w:hAnsi="Times New Roman" w:cs="Times New Roman"/>
      <w:sz w:val="26"/>
      <w:szCs w:val="26"/>
      <w:shd w:val="clear" w:color="auto" w:fill="FFFFFF"/>
    </w:rPr>
  </w:style>
  <w:style w:type="paragraph" w:styleId="BodyText">
    <w:name w:val="Body Text"/>
    <w:basedOn w:val="Normal"/>
    <w:link w:val="BodyTextChar1"/>
    <w:uiPriority w:val="99"/>
    <w:qFormat/>
    <w:rsid w:val="00E844CB"/>
    <w:pPr>
      <w:widowControl w:val="0"/>
      <w:shd w:val="clear" w:color="auto" w:fill="FFFFFF"/>
      <w:spacing w:after="220" w:line="262" w:lineRule="auto"/>
      <w:ind w:firstLine="400"/>
    </w:pPr>
    <w:rPr>
      <w:rFonts w:ascii="Times New Roman" w:hAnsi="Times New Roman" w:cs="Times New Roman"/>
      <w:kern w:val="2"/>
      <w:sz w:val="26"/>
      <w:szCs w:val="26"/>
      <w14:ligatures w14:val="standardContextual"/>
    </w:rPr>
  </w:style>
  <w:style w:type="character" w:customStyle="1" w:styleId="BodyTextChar">
    <w:name w:val="Body Text Char"/>
    <w:basedOn w:val="DefaultParagraphFont"/>
    <w:uiPriority w:val="99"/>
    <w:semiHidden/>
    <w:rsid w:val="00E844CB"/>
    <w:rPr>
      <w:kern w:val="0"/>
      <w14:ligatures w14:val="none"/>
    </w:rPr>
  </w:style>
  <w:style w:type="character" w:styleId="IntenseEmphasis">
    <w:name w:val="Intense Emphasis"/>
    <w:basedOn w:val="DefaultParagraphFont"/>
    <w:uiPriority w:val="21"/>
    <w:qFormat/>
    <w:rsid w:val="003A274F"/>
    <w:rPr>
      <w:i/>
      <w:iCs/>
      <w:color w:val="4472C4" w:themeColor="accent1"/>
    </w:rPr>
  </w:style>
  <w:style w:type="character" w:styleId="Emphasis">
    <w:name w:val="Emphasis"/>
    <w:basedOn w:val="DefaultParagraphFont"/>
    <w:uiPriority w:val="20"/>
    <w:qFormat/>
    <w:rsid w:val="00A24538"/>
    <w:rPr>
      <w:i/>
      <w:iCs/>
    </w:rPr>
  </w:style>
  <w:style w:type="character" w:styleId="SubtleEmphasis">
    <w:name w:val="Subtle Emphasis"/>
    <w:basedOn w:val="DefaultParagraphFont"/>
    <w:uiPriority w:val="19"/>
    <w:qFormat/>
    <w:rsid w:val="00921095"/>
    <w:rPr>
      <w:i/>
      <w:iCs/>
      <w:color w:val="404040" w:themeColor="text1" w:themeTint="BF"/>
    </w:rPr>
  </w:style>
  <w:style w:type="character" w:styleId="Strong">
    <w:name w:val="Strong"/>
    <w:basedOn w:val="DefaultParagraphFont"/>
    <w:uiPriority w:val="22"/>
    <w:qFormat/>
    <w:rsid w:val="002357B7"/>
    <w:rPr>
      <w:b/>
      <w:bCs/>
    </w:rPr>
  </w:style>
  <w:style w:type="paragraph" w:customStyle="1" w:styleId="paragraph">
    <w:name w:val="paragraph"/>
    <w:basedOn w:val="Normal"/>
    <w:rsid w:val="00CC0B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C0BF8"/>
  </w:style>
  <w:style w:type="character" w:styleId="Mention">
    <w:name w:val="Mention"/>
    <w:basedOn w:val="DefaultParagraphFont"/>
    <w:uiPriority w:val="99"/>
    <w:unhideWhenUsed/>
    <w:rsid w:val="00AB11BB"/>
    <w:rPr>
      <w:color w:val="2B579A"/>
      <w:shd w:val="clear" w:color="auto" w:fill="E1DFDD"/>
    </w:rPr>
  </w:style>
  <w:style w:type="character" w:styleId="UnresolvedMention">
    <w:name w:val="Unresolved Mention"/>
    <w:basedOn w:val="DefaultParagraphFont"/>
    <w:uiPriority w:val="99"/>
    <w:semiHidden/>
    <w:unhideWhenUsed/>
    <w:rsid w:val="00C818DB"/>
    <w:rPr>
      <w:color w:val="605E5C"/>
      <w:shd w:val="clear" w:color="auto" w:fill="E1DFDD"/>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6D523C"/>
    <w:pPr>
      <w:spacing w:after="0" w:line="240" w:lineRule="auto"/>
      <w:jc w:val="both"/>
    </w:pPr>
    <w:rPr>
      <w:kern w:val="2"/>
      <w:vertAlign w:val="superscript"/>
      <w14:ligatures w14:val="standardContextual"/>
    </w:rPr>
  </w:style>
  <w:style w:type="paragraph" w:styleId="Caption">
    <w:name w:val="caption"/>
    <w:aliases w:val="Boxes,Caption Char Char Char,Caption1 Char,Caption1,Table title,Figure Head,Figure Head Znak Znak,Figure Head Znak,Caption Char1,Caption Char Char,Table legend,Tab_Überschrift,Figure reference,Tab_†berschrift,Beschriftung Char2,WB Caption"/>
    <w:basedOn w:val="Normal"/>
    <w:next w:val="Normal"/>
    <w:link w:val="CaptionChar"/>
    <w:uiPriority w:val="35"/>
    <w:unhideWhenUsed/>
    <w:qFormat/>
    <w:rsid w:val="007D403B"/>
    <w:pPr>
      <w:spacing w:before="360" w:after="200" w:line="240" w:lineRule="auto"/>
    </w:pPr>
    <w:rPr>
      <w:rFonts w:ascii="Times New Roman" w:hAnsi="Times New Roman"/>
      <w:b/>
      <w:bCs/>
      <w:color w:val="4472C4" w:themeColor="accent1"/>
      <w:sz w:val="18"/>
      <w:szCs w:val="18"/>
    </w:rPr>
  </w:style>
  <w:style w:type="character" w:customStyle="1" w:styleId="CaptionChar">
    <w:name w:val="Caption Char"/>
    <w:aliases w:val="Boxes Char,Caption Char Char Char Char,Caption1 Char Char,Caption1 Char1,Table title Char,Figure Head Char,Figure Head Znak Znak Char,Figure Head Znak Char,Caption Char1 Char,Caption Char Char Char1,Table legend Char,Tab_Überschrift Char"/>
    <w:basedOn w:val="DefaultParagraphFont"/>
    <w:link w:val="Caption"/>
    <w:uiPriority w:val="35"/>
    <w:locked/>
    <w:rsid w:val="007D403B"/>
    <w:rPr>
      <w:rFonts w:ascii="Times New Roman" w:hAnsi="Times New Roman"/>
      <w:b/>
      <w:bCs/>
      <w:color w:val="4472C4" w:themeColor="accent1"/>
      <w:kern w:val="0"/>
      <w:sz w:val="18"/>
      <w:szCs w:val="18"/>
      <w14:ligatures w14:val="none"/>
    </w:rPr>
  </w:style>
  <w:style w:type="paragraph" w:styleId="NormalWeb">
    <w:name w:val="Normal (Web)"/>
    <w:basedOn w:val="Normal"/>
    <w:uiPriority w:val="99"/>
    <w:semiHidden/>
    <w:unhideWhenUsed/>
    <w:rsid w:val="002F03AD"/>
    <w:rPr>
      <w:rFonts w:ascii="Times New Roman" w:hAnsi="Times New Roman" w:cs="Times New Roman"/>
      <w:sz w:val="24"/>
      <w:szCs w:val="24"/>
    </w:rPr>
  </w:style>
  <w:style w:type="numbering" w:customStyle="1" w:styleId="CurrentList3">
    <w:name w:val="Current List3"/>
    <w:uiPriority w:val="99"/>
    <w:rsid w:val="0024451E"/>
    <w:pPr>
      <w:numPr>
        <w:numId w:val="21"/>
      </w:numPr>
    </w:pPr>
  </w:style>
  <w:style w:type="paragraph" w:customStyle="1" w:styleId="Recommendation">
    <w:name w:val="Recommendation"/>
    <w:basedOn w:val="ListParagraph"/>
    <w:next w:val="Normal"/>
    <w:qFormat/>
    <w:rsid w:val="0024451E"/>
    <w:pPr>
      <w:numPr>
        <w:numId w:val="21"/>
      </w:numPr>
      <w:tabs>
        <w:tab w:val="num" w:pos="360"/>
      </w:tabs>
      <w:spacing w:before="240"/>
      <w:ind w:left="720" w:firstLine="0"/>
      <w:jc w:val="both"/>
    </w:pPr>
    <w:rPr>
      <w:rFonts w:asciiTheme="majorHAnsi" w:hAnsiTheme="majorHAnsi" w:cs="Calibri"/>
      <w:b/>
      <w:bCs/>
    </w:rPr>
  </w:style>
  <w:style w:type="paragraph" w:customStyle="1" w:styleId="Body">
    <w:name w:val="Body"/>
    <w:basedOn w:val="Normal"/>
    <w:qFormat/>
    <w:rsid w:val="008B380E"/>
    <w:pPr>
      <w:jc w:val="both"/>
    </w:pPr>
    <w:rPr>
      <w:rFonts w:cstheme="minorHAnsi"/>
      <w:szCs w:val="24"/>
    </w:rPr>
  </w:style>
  <w:style w:type="numbering" w:customStyle="1" w:styleId="CurrentList31">
    <w:name w:val="Current List31"/>
    <w:uiPriority w:val="99"/>
    <w:rsid w:val="00634EBC"/>
  </w:style>
  <w:style w:type="numbering" w:customStyle="1" w:styleId="CurrentList10">
    <w:name w:val="Current List10"/>
    <w:uiPriority w:val="99"/>
    <w:rsid w:val="00634EBC"/>
    <w:pPr>
      <w:numPr>
        <w:numId w:val="24"/>
      </w:numPr>
    </w:pPr>
  </w:style>
  <w:style w:type="character" w:styleId="FollowedHyperlink">
    <w:name w:val="FollowedHyperlink"/>
    <w:basedOn w:val="DefaultParagraphFont"/>
    <w:uiPriority w:val="99"/>
    <w:semiHidden/>
    <w:unhideWhenUsed/>
    <w:rsid w:val="001D261C"/>
    <w:rPr>
      <w:color w:val="954F72" w:themeColor="followedHyperlink"/>
      <w:u w:val="single"/>
    </w:rPr>
  </w:style>
  <w:style w:type="paragraph" w:styleId="TOC1">
    <w:name w:val="toc 1"/>
    <w:basedOn w:val="Normal"/>
    <w:next w:val="Normal"/>
    <w:autoRedefine/>
    <w:uiPriority w:val="39"/>
    <w:unhideWhenUsed/>
    <w:rsid w:val="00D32836"/>
    <w:pPr>
      <w:tabs>
        <w:tab w:val="left" w:pos="660"/>
        <w:tab w:val="right" w:leader="dot" w:pos="9350"/>
      </w:tabs>
      <w:spacing w:after="100"/>
    </w:pPr>
  </w:style>
  <w:style w:type="paragraph" w:styleId="TOC2">
    <w:name w:val="toc 2"/>
    <w:basedOn w:val="Normal"/>
    <w:next w:val="Normal"/>
    <w:autoRedefine/>
    <w:uiPriority w:val="39"/>
    <w:unhideWhenUsed/>
    <w:rsid w:val="005341B2"/>
    <w:pPr>
      <w:tabs>
        <w:tab w:val="left" w:pos="660"/>
        <w:tab w:val="right" w:leader="dot" w:pos="9350"/>
      </w:tabs>
      <w:spacing w:after="100"/>
      <w:ind w:left="220"/>
    </w:pPr>
  </w:style>
  <w:style w:type="paragraph" w:styleId="EndnoteText">
    <w:name w:val="endnote text"/>
    <w:basedOn w:val="Normal"/>
    <w:link w:val="EndnoteTextChar"/>
    <w:uiPriority w:val="99"/>
    <w:semiHidden/>
    <w:unhideWhenUsed/>
    <w:rsid w:val="001C294A"/>
    <w:pPr>
      <w:spacing w:after="0" w:line="240" w:lineRule="auto"/>
    </w:pPr>
    <w:rPr>
      <w:sz w:val="20"/>
      <w:szCs w:val="20"/>
      <w14:ligatures w14:val="standardContextual"/>
    </w:rPr>
  </w:style>
  <w:style w:type="character" w:customStyle="1" w:styleId="EndnoteTextChar">
    <w:name w:val="Endnote Text Char"/>
    <w:basedOn w:val="DefaultParagraphFont"/>
    <w:link w:val="EndnoteText"/>
    <w:uiPriority w:val="99"/>
    <w:semiHidden/>
    <w:rsid w:val="001C294A"/>
    <w:rPr>
      <w:kern w:val="0"/>
      <w:sz w:val="20"/>
      <w:szCs w:val="20"/>
    </w:rPr>
  </w:style>
  <w:style w:type="character" w:styleId="EndnoteReference">
    <w:name w:val="endnote reference"/>
    <w:basedOn w:val="DefaultParagraphFont"/>
    <w:uiPriority w:val="99"/>
    <w:semiHidden/>
    <w:unhideWhenUsed/>
    <w:rsid w:val="001C294A"/>
    <w:rPr>
      <w:vertAlign w:val="superscript"/>
    </w:rPr>
  </w:style>
  <w:style w:type="numbering" w:customStyle="1" w:styleId="CurrentList1">
    <w:name w:val="Current List1"/>
    <w:uiPriority w:val="99"/>
    <w:rsid w:val="00E42F40"/>
    <w:pPr>
      <w:numPr>
        <w:numId w:val="45"/>
      </w:numPr>
    </w:pPr>
  </w:style>
  <w:style w:type="character" w:customStyle="1" w:styleId="cf11">
    <w:name w:val="cf11"/>
    <w:basedOn w:val="DefaultParagraphFont"/>
    <w:rsid w:val="007E07CA"/>
    <w:rPr>
      <w:rFonts w:ascii="Segoe UI" w:hAnsi="Segoe UI" w:cs="Segoe UI" w:hint="default"/>
      <w:sz w:val="18"/>
      <w:szCs w:val="18"/>
      <w:shd w:val="clear" w:color="auto" w:fill="FFFF00"/>
    </w:rPr>
  </w:style>
  <w:style w:type="character" w:customStyle="1" w:styleId="cf21">
    <w:name w:val="cf21"/>
    <w:basedOn w:val="DefaultParagraphFont"/>
    <w:rsid w:val="007E07CA"/>
    <w:rPr>
      <w:rFonts w:ascii="Segoe UI" w:hAnsi="Segoe UI" w:cs="Segoe UI" w:hint="default"/>
      <w:sz w:val="18"/>
      <w:szCs w:val="18"/>
    </w:rPr>
  </w:style>
  <w:style w:type="paragraph" w:customStyle="1" w:styleId="pf0">
    <w:name w:val="pf0"/>
    <w:basedOn w:val="Normal"/>
    <w:rsid w:val="00A661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4140">
      <w:bodyDiv w:val="1"/>
      <w:marLeft w:val="0"/>
      <w:marRight w:val="0"/>
      <w:marTop w:val="0"/>
      <w:marBottom w:val="0"/>
      <w:divBdr>
        <w:top w:val="none" w:sz="0" w:space="0" w:color="auto"/>
        <w:left w:val="none" w:sz="0" w:space="0" w:color="auto"/>
        <w:bottom w:val="none" w:sz="0" w:space="0" w:color="auto"/>
        <w:right w:val="none" w:sz="0" w:space="0" w:color="auto"/>
      </w:divBdr>
    </w:div>
    <w:div w:id="43412637">
      <w:bodyDiv w:val="1"/>
      <w:marLeft w:val="0"/>
      <w:marRight w:val="0"/>
      <w:marTop w:val="0"/>
      <w:marBottom w:val="0"/>
      <w:divBdr>
        <w:top w:val="none" w:sz="0" w:space="0" w:color="auto"/>
        <w:left w:val="none" w:sz="0" w:space="0" w:color="auto"/>
        <w:bottom w:val="none" w:sz="0" w:space="0" w:color="auto"/>
        <w:right w:val="none" w:sz="0" w:space="0" w:color="auto"/>
      </w:divBdr>
    </w:div>
    <w:div w:id="80762984">
      <w:bodyDiv w:val="1"/>
      <w:marLeft w:val="0"/>
      <w:marRight w:val="0"/>
      <w:marTop w:val="0"/>
      <w:marBottom w:val="0"/>
      <w:divBdr>
        <w:top w:val="none" w:sz="0" w:space="0" w:color="auto"/>
        <w:left w:val="none" w:sz="0" w:space="0" w:color="auto"/>
        <w:bottom w:val="none" w:sz="0" w:space="0" w:color="auto"/>
        <w:right w:val="none" w:sz="0" w:space="0" w:color="auto"/>
      </w:divBdr>
    </w:div>
    <w:div w:id="207962179">
      <w:bodyDiv w:val="1"/>
      <w:marLeft w:val="0"/>
      <w:marRight w:val="0"/>
      <w:marTop w:val="0"/>
      <w:marBottom w:val="0"/>
      <w:divBdr>
        <w:top w:val="none" w:sz="0" w:space="0" w:color="auto"/>
        <w:left w:val="none" w:sz="0" w:space="0" w:color="auto"/>
        <w:bottom w:val="none" w:sz="0" w:space="0" w:color="auto"/>
        <w:right w:val="none" w:sz="0" w:space="0" w:color="auto"/>
      </w:divBdr>
    </w:div>
    <w:div w:id="295333198">
      <w:bodyDiv w:val="1"/>
      <w:marLeft w:val="0"/>
      <w:marRight w:val="0"/>
      <w:marTop w:val="0"/>
      <w:marBottom w:val="0"/>
      <w:divBdr>
        <w:top w:val="none" w:sz="0" w:space="0" w:color="auto"/>
        <w:left w:val="none" w:sz="0" w:space="0" w:color="auto"/>
        <w:bottom w:val="none" w:sz="0" w:space="0" w:color="auto"/>
        <w:right w:val="none" w:sz="0" w:space="0" w:color="auto"/>
      </w:divBdr>
    </w:div>
    <w:div w:id="573703849">
      <w:bodyDiv w:val="1"/>
      <w:marLeft w:val="0"/>
      <w:marRight w:val="0"/>
      <w:marTop w:val="0"/>
      <w:marBottom w:val="0"/>
      <w:divBdr>
        <w:top w:val="none" w:sz="0" w:space="0" w:color="auto"/>
        <w:left w:val="none" w:sz="0" w:space="0" w:color="auto"/>
        <w:bottom w:val="none" w:sz="0" w:space="0" w:color="auto"/>
        <w:right w:val="none" w:sz="0" w:space="0" w:color="auto"/>
      </w:divBdr>
    </w:div>
    <w:div w:id="714548143">
      <w:bodyDiv w:val="1"/>
      <w:marLeft w:val="0"/>
      <w:marRight w:val="0"/>
      <w:marTop w:val="0"/>
      <w:marBottom w:val="0"/>
      <w:divBdr>
        <w:top w:val="none" w:sz="0" w:space="0" w:color="auto"/>
        <w:left w:val="none" w:sz="0" w:space="0" w:color="auto"/>
        <w:bottom w:val="none" w:sz="0" w:space="0" w:color="auto"/>
        <w:right w:val="none" w:sz="0" w:space="0" w:color="auto"/>
      </w:divBdr>
    </w:div>
    <w:div w:id="826091453">
      <w:bodyDiv w:val="1"/>
      <w:marLeft w:val="0"/>
      <w:marRight w:val="0"/>
      <w:marTop w:val="0"/>
      <w:marBottom w:val="0"/>
      <w:divBdr>
        <w:top w:val="none" w:sz="0" w:space="0" w:color="auto"/>
        <w:left w:val="none" w:sz="0" w:space="0" w:color="auto"/>
        <w:bottom w:val="none" w:sz="0" w:space="0" w:color="auto"/>
        <w:right w:val="none" w:sz="0" w:space="0" w:color="auto"/>
      </w:divBdr>
    </w:div>
    <w:div w:id="904334639">
      <w:bodyDiv w:val="1"/>
      <w:marLeft w:val="0"/>
      <w:marRight w:val="0"/>
      <w:marTop w:val="0"/>
      <w:marBottom w:val="0"/>
      <w:divBdr>
        <w:top w:val="none" w:sz="0" w:space="0" w:color="auto"/>
        <w:left w:val="none" w:sz="0" w:space="0" w:color="auto"/>
        <w:bottom w:val="none" w:sz="0" w:space="0" w:color="auto"/>
        <w:right w:val="none" w:sz="0" w:space="0" w:color="auto"/>
      </w:divBdr>
    </w:div>
    <w:div w:id="952904014">
      <w:bodyDiv w:val="1"/>
      <w:marLeft w:val="0"/>
      <w:marRight w:val="0"/>
      <w:marTop w:val="0"/>
      <w:marBottom w:val="0"/>
      <w:divBdr>
        <w:top w:val="none" w:sz="0" w:space="0" w:color="auto"/>
        <w:left w:val="none" w:sz="0" w:space="0" w:color="auto"/>
        <w:bottom w:val="none" w:sz="0" w:space="0" w:color="auto"/>
        <w:right w:val="none" w:sz="0" w:space="0" w:color="auto"/>
      </w:divBdr>
    </w:div>
    <w:div w:id="977304291">
      <w:bodyDiv w:val="1"/>
      <w:marLeft w:val="0"/>
      <w:marRight w:val="0"/>
      <w:marTop w:val="0"/>
      <w:marBottom w:val="0"/>
      <w:divBdr>
        <w:top w:val="none" w:sz="0" w:space="0" w:color="auto"/>
        <w:left w:val="none" w:sz="0" w:space="0" w:color="auto"/>
        <w:bottom w:val="none" w:sz="0" w:space="0" w:color="auto"/>
        <w:right w:val="none" w:sz="0" w:space="0" w:color="auto"/>
      </w:divBdr>
    </w:div>
    <w:div w:id="1040201813">
      <w:bodyDiv w:val="1"/>
      <w:marLeft w:val="0"/>
      <w:marRight w:val="0"/>
      <w:marTop w:val="0"/>
      <w:marBottom w:val="0"/>
      <w:divBdr>
        <w:top w:val="none" w:sz="0" w:space="0" w:color="auto"/>
        <w:left w:val="none" w:sz="0" w:space="0" w:color="auto"/>
        <w:bottom w:val="none" w:sz="0" w:space="0" w:color="auto"/>
        <w:right w:val="none" w:sz="0" w:space="0" w:color="auto"/>
      </w:divBdr>
      <w:divsChild>
        <w:div w:id="1019354256">
          <w:marLeft w:val="0"/>
          <w:marRight w:val="0"/>
          <w:marTop w:val="0"/>
          <w:marBottom w:val="0"/>
          <w:divBdr>
            <w:top w:val="none" w:sz="0" w:space="0" w:color="auto"/>
            <w:left w:val="none" w:sz="0" w:space="0" w:color="auto"/>
            <w:bottom w:val="none" w:sz="0" w:space="0" w:color="auto"/>
            <w:right w:val="none" w:sz="0" w:space="0" w:color="auto"/>
          </w:divBdr>
        </w:div>
        <w:div w:id="1673797826">
          <w:marLeft w:val="0"/>
          <w:marRight w:val="0"/>
          <w:marTop w:val="0"/>
          <w:marBottom w:val="0"/>
          <w:divBdr>
            <w:top w:val="none" w:sz="0" w:space="0" w:color="auto"/>
            <w:left w:val="none" w:sz="0" w:space="0" w:color="auto"/>
            <w:bottom w:val="none" w:sz="0" w:space="0" w:color="auto"/>
            <w:right w:val="none" w:sz="0" w:space="0" w:color="auto"/>
          </w:divBdr>
        </w:div>
      </w:divsChild>
    </w:div>
    <w:div w:id="1122114360">
      <w:bodyDiv w:val="1"/>
      <w:marLeft w:val="0"/>
      <w:marRight w:val="0"/>
      <w:marTop w:val="0"/>
      <w:marBottom w:val="0"/>
      <w:divBdr>
        <w:top w:val="none" w:sz="0" w:space="0" w:color="auto"/>
        <w:left w:val="none" w:sz="0" w:space="0" w:color="auto"/>
        <w:bottom w:val="none" w:sz="0" w:space="0" w:color="auto"/>
        <w:right w:val="none" w:sz="0" w:space="0" w:color="auto"/>
      </w:divBdr>
    </w:div>
    <w:div w:id="1139223900">
      <w:bodyDiv w:val="1"/>
      <w:marLeft w:val="0"/>
      <w:marRight w:val="0"/>
      <w:marTop w:val="0"/>
      <w:marBottom w:val="0"/>
      <w:divBdr>
        <w:top w:val="none" w:sz="0" w:space="0" w:color="auto"/>
        <w:left w:val="none" w:sz="0" w:space="0" w:color="auto"/>
        <w:bottom w:val="none" w:sz="0" w:space="0" w:color="auto"/>
        <w:right w:val="none" w:sz="0" w:space="0" w:color="auto"/>
      </w:divBdr>
    </w:div>
    <w:div w:id="1145439199">
      <w:bodyDiv w:val="1"/>
      <w:marLeft w:val="0"/>
      <w:marRight w:val="0"/>
      <w:marTop w:val="0"/>
      <w:marBottom w:val="0"/>
      <w:divBdr>
        <w:top w:val="none" w:sz="0" w:space="0" w:color="auto"/>
        <w:left w:val="none" w:sz="0" w:space="0" w:color="auto"/>
        <w:bottom w:val="none" w:sz="0" w:space="0" w:color="auto"/>
        <w:right w:val="none" w:sz="0" w:space="0" w:color="auto"/>
      </w:divBdr>
    </w:div>
    <w:div w:id="1385911945">
      <w:bodyDiv w:val="1"/>
      <w:marLeft w:val="0"/>
      <w:marRight w:val="0"/>
      <w:marTop w:val="0"/>
      <w:marBottom w:val="0"/>
      <w:divBdr>
        <w:top w:val="none" w:sz="0" w:space="0" w:color="auto"/>
        <w:left w:val="none" w:sz="0" w:space="0" w:color="auto"/>
        <w:bottom w:val="none" w:sz="0" w:space="0" w:color="auto"/>
        <w:right w:val="none" w:sz="0" w:space="0" w:color="auto"/>
      </w:divBdr>
      <w:divsChild>
        <w:div w:id="1799372953">
          <w:marLeft w:val="0"/>
          <w:marRight w:val="0"/>
          <w:marTop w:val="0"/>
          <w:marBottom w:val="150"/>
          <w:divBdr>
            <w:top w:val="none" w:sz="0" w:space="0" w:color="auto"/>
            <w:left w:val="none" w:sz="0" w:space="0" w:color="auto"/>
            <w:bottom w:val="none" w:sz="0" w:space="0" w:color="auto"/>
            <w:right w:val="none" w:sz="0" w:space="0" w:color="auto"/>
          </w:divBdr>
        </w:div>
      </w:divsChild>
    </w:div>
    <w:div w:id="1418095220">
      <w:bodyDiv w:val="1"/>
      <w:marLeft w:val="0"/>
      <w:marRight w:val="0"/>
      <w:marTop w:val="0"/>
      <w:marBottom w:val="0"/>
      <w:divBdr>
        <w:top w:val="none" w:sz="0" w:space="0" w:color="auto"/>
        <w:left w:val="none" w:sz="0" w:space="0" w:color="auto"/>
        <w:bottom w:val="none" w:sz="0" w:space="0" w:color="auto"/>
        <w:right w:val="none" w:sz="0" w:space="0" w:color="auto"/>
      </w:divBdr>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41880166">
      <w:bodyDiv w:val="1"/>
      <w:marLeft w:val="0"/>
      <w:marRight w:val="0"/>
      <w:marTop w:val="0"/>
      <w:marBottom w:val="0"/>
      <w:divBdr>
        <w:top w:val="none" w:sz="0" w:space="0" w:color="auto"/>
        <w:left w:val="none" w:sz="0" w:space="0" w:color="auto"/>
        <w:bottom w:val="none" w:sz="0" w:space="0" w:color="auto"/>
        <w:right w:val="none" w:sz="0" w:space="0" w:color="auto"/>
      </w:divBdr>
    </w:div>
    <w:div w:id="1544563052">
      <w:bodyDiv w:val="1"/>
      <w:marLeft w:val="0"/>
      <w:marRight w:val="0"/>
      <w:marTop w:val="0"/>
      <w:marBottom w:val="0"/>
      <w:divBdr>
        <w:top w:val="none" w:sz="0" w:space="0" w:color="auto"/>
        <w:left w:val="none" w:sz="0" w:space="0" w:color="auto"/>
        <w:bottom w:val="none" w:sz="0" w:space="0" w:color="auto"/>
        <w:right w:val="none" w:sz="0" w:space="0" w:color="auto"/>
      </w:divBdr>
    </w:div>
    <w:div w:id="189681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7.xml"/><Relationship Id="rId39" Type="http://schemas.openxmlformats.org/officeDocument/2006/relationships/hyperlink" Target="https://www.enterprisesurveys.org/en/enterprisesurveys" TargetMode="External"/><Relationship Id="rId21" Type="http://schemas.openxmlformats.org/officeDocument/2006/relationships/image" Target="media/image11.png"/><Relationship Id="rId34" Type="http://schemas.openxmlformats.org/officeDocument/2006/relationships/hyperlink" Target="http://dx.doi.org/10.1787/9789264096646-en" TargetMode="External"/><Relationship Id="rId42" Type="http://schemas.openxmlformats.org/officeDocument/2006/relationships/hyperlink" Target="https://www.worldbank.org/en/programs/entrepreneurship"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Layout" Target="diagrams/layout1.xml"/><Relationship Id="rId11" Type="http://schemas.openxmlformats.org/officeDocument/2006/relationships/chart" Target="charts/chart2.xml"/><Relationship Id="rId24" Type="http://schemas.openxmlformats.org/officeDocument/2006/relationships/chart" Target="charts/chart5.xml"/><Relationship Id="rId32" Type="http://schemas.microsoft.com/office/2007/relationships/diagramDrawing" Target="diagrams/drawing1.xml"/><Relationship Id="rId37" Type="http://schemas.openxmlformats.org/officeDocument/2006/relationships/hyperlink" Target="https://www.gso.gov.vn/en/economic-census/" TargetMode="External"/><Relationship Id="rId40" Type="http://schemas.openxmlformats.org/officeDocument/2006/relationships/image" Target="media/image16.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diagramData" Target="diagrams/data1.xml"/><Relationship Id="rId36" Type="http://schemas.openxmlformats.org/officeDocument/2006/relationships/hyperlink" Target="https://datatopics.worldbank.org/world-development-indicators/" TargetMode="External"/><Relationship Id="rId49" Type="http://schemas.microsoft.com/office/2020/10/relationships/intelligence" Target="intelligence2.xml"/><Relationship Id="rId10" Type="http://schemas.openxmlformats.org/officeDocument/2006/relationships/chart" Target="charts/chart1.xml"/><Relationship Id="rId19" Type="http://schemas.openxmlformats.org/officeDocument/2006/relationships/image" Target="media/image9.emf"/><Relationship Id="rId31" Type="http://schemas.openxmlformats.org/officeDocument/2006/relationships/diagramColors" Target="diagrams/colors1.xml"/><Relationship Id="rId44" Type="http://schemas.openxmlformats.org/officeDocument/2006/relationships/hyperlink" Target="https://www.oecd.org/investment/fdi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chart" Target="charts/chart8.xml"/><Relationship Id="rId30" Type="http://schemas.openxmlformats.org/officeDocument/2006/relationships/diagramQuickStyle" Target="diagrams/quickStyle1.xml"/><Relationship Id="rId35" Type="http://schemas.openxmlformats.org/officeDocument/2006/relationships/image" Target="media/image15.png"/><Relationship Id="rId43" Type="http://schemas.openxmlformats.org/officeDocument/2006/relationships/hyperlink" Target="https://pcivietnam.vn/en"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4.png"/><Relationship Id="rId38" Type="http://schemas.openxmlformats.org/officeDocument/2006/relationships/hyperlink" Target="https://www.worldbank.org/content/dam/enterprisesurveys/documents/methodology/Enterprise%20Surveys_Manual%20and%20Guide.pdf"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publicrevenue.gr/elib/view?d=/gr/act/2016/4442/" TargetMode="External"/><Relationship Id="rId3" Type="http://schemas.openxmlformats.org/officeDocument/2006/relationships/hyperlink" Target="https://dichvucong.gov.vn/p/home/dvc-trang-chu.html" TargetMode="External"/><Relationship Id="rId7" Type="http://schemas.openxmlformats.org/officeDocument/2006/relationships/hyperlink" Target="https://doi.org/10.1787/38b0fdb1-en" TargetMode="External"/><Relationship Id="rId2" Type="http://schemas.openxmlformats.org/officeDocument/2006/relationships/hyperlink" Target="https://doi.org/10.1787/aad87f86-en" TargetMode="External"/><Relationship Id="rId1" Type="http://schemas.openxmlformats.org/officeDocument/2006/relationships/hyperlink" Target="https://www.mercatus.org/research/working-papers/regdata" TargetMode="External"/><Relationship Id="rId6" Type="http://schemas.openxmlformats.org/officeDocument/2006/relationships/hyperlink" Target="https://quydinhkinhdoanh.gov.vn/p/home/tmv-trang-chu.html" TargetMode="External"/><Relationship Id="rId11" Type="http://schemas.openxmlformats.org/officeDocument/2006/relationships/hyperlink" Target="https://www.w3.org/WAI/standards-guidelines/" TargetMode="External"/><Relationship Id="rId5" Type="http://schemas.openxmlformats.org/officeDocument/2006/relationships/hyperlink" Target="http://hscv.vpcp.vn/Authentication%21actionChooseGroup.do" TargetMode="External"/><Relationship Id="rId10" Type="http://schemas.openxmlformats.org/officeDocument/2006/relationships/hyperlink" Target="https://www.gov.uk/guidance/content-design/writing-for-gov-uk" TargetMode="External"/><Relationship Id="rId4" Type="http://schemas.openxmlformats.org/officeDocument/2006/relationships/hyperlink" Target="https://quydinhkinhdoanh.gov.vn/p/home/tmv-trang-chu.html" TargetMode="External"/><Relationship Id="rId9" Type="http://schemas.openxmlformats.org/officeDocument/2006/relationships/hyperlink" Target="https://groups.oasis-open.org/communities/tc-community-home2?CommunityKey=3425f20f-b704-4076-9fab-018dc7d3efb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https://worldbankgroup-my.sharepoint.com/personal/mpinzonlatorre_worldbank_org/Documents/Projects/2023_2024/ICA_2_0/Reports/Vietnam/data/WDI_Setting_Stage_Prod_Macro_Tren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worldbankgroup-my.sharepoint.com/personal/mpinzonlatorre_worldbank_org/Documents/Projects/2023_2024/ICA_2_0/Reports/Vietnam/data/Country%20Tool%20Output/Addtional_figure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30993000874891"/>
          <c:y val="7.7947845804988661E-2"/>
          <c:w val="0.74050488480606591"/>
          <c:h val="0.61405772939096903"/>
        </c:manualLayout>
      </c:layout>
      <c:lineChart>
        <c:grouping val="standard"/>
        <c:varyColors val="0"/>
        <c:ser>
          <c:idx val="1"/>
          <c:order val="0"/>
          <c:tx>
            <c:v>Agriculture</c:v>
          </c:tx>
          <c:spPr>
            <a:ln w="28575" cap="rnd">
              <a:solidFill>
                <a:schemeClr val="accent2"/>
              </a:solidFill>
              <a:round/>
            </a:ln>
            <a:effectLst/>
          </c:spPr>
          <c:marker>
            <c:symbol val="none"/>
          </c:marker>
          <c:cat>
            <c:numRef>
              <c:f>'Figure 7'!$C$3:$C$22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7'!$D$3:$D$22</c:f>
              <c:numCache>
                <c:formatCode>0</c:formatCode>
                <c:ptCount val="20"/>
                <c:pt idx="0">
                  <c:v>0.60690689086914063</c:v>
                </c:pt>
                <c:pt idx="1">
                  <c:v>0.59366261959075928</c:v>
                </c:pt>
                <c:pt idx="2">
                  <c:v>0.57332736253738403</c:v>
                </c:pt>
                <c:pt idx="3">
                  <c:v>0.54891377687454224</c:v>
                </c:pt>
                <c:pt idx="4">
                  <c:v>0.53065836429595947</c:v>
                </c:pt>
                <c:pt idx="5">
                  <c:v>0.49942320585250854</c:v>
                </c:pt>
                <c:pt idx="6">
                  <c:v>0.46772468090057373</c:v>
                </c:pt>
                <c:pt idx="7">
                  <c:v>0.44407171010971069</c:v>
                </c:pt>
                <c:pt idx="8">
                  <c:v>0.43755629658699036</c:v>
                </c:pt>
                <c:pt idx="9">
                  <c:v>0.42703118920326233</c:v>
                </c:pt>
                <c:pt idx="10">
                  <c:v>0.43843263387680054</c:v>
                </c:pt>
                <c:pt idx="11">
                  <c:v>0.43452063202857971</c:v>
                </c:pt>
                <c:pt idx="12">
                  <c:v>0.42493522167205811</c:v>
                </c:pt>
                <c:pt idx="13">
                  <c:v>0.41908353567123413</c:v>
                </c:pt>
                <c:pt idx="14">
                  <c:v>0.41244357824325562</c:v>
                </c:pt>
                <c:pt idx="15">
                  <c:v>0.38966819643974304</c:v>
                </c:pt>
                <c:pt idx="16">
                  <c:v>0.36899107694625854</c:v>
                </c:pt>
                <c:pt idx="17">
                  <c:v>0.35341852903366089</c:v>
                </c:pt>
                <c:pt idx="18">
                  <c:v>0.3397662341594696</c:v>
                </c:pt>
                <c:pt idx="19">
                  <c:v>0.32692673802375793</c:v>
                </c:pt>
              </c:numCache>
            </c:numRef>
          </c:val>
          <c:smooth val="0"/>
          <c:extLst>
            <c:ext xmlns:c16="http://schemas.microsoft.com/office/drawing/2014/chart" uri="{C3380CC4-5D6E-409C-BE32-E72D297353CC}">
              <c16:uniqueId val="{00000000-A39F-415D-B99F-B2A4294C9F6D}"/>
            </c:ext>
          </c:extLst>
        </c:ser>
        <c:ser>
          <c:idx val="2"/>
          <c:order val="1"/>
          <c:tx>
            <c:v>Non-Agriculture</c:v>
          </c:tx>
          <c:spPr>
            <a:ln w="28575" cap="rnd">
              <a:solidFill>
                <a:schemeClr val="accent3"/>
              </a:solidFill>
              <a:round/>
            </a:ln>
            <a:effectLst/>
          </c:spPr>
          <c:marker>
            <c:symbol val="none"/>
          </c:marker>
          <c:cat>
            <c:numRef>
              <c:f>'Figure 7'!$C$3:$C$22</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7'!$E$3:$E$22</c:f>
              <c:numCache>
                <c:formatCode>0</c:formatCode>
                <c:ptCount val="20"/>
                <c:pt idx="0">
                  <c:v>0.39309310913085938</c:v>
                </c:pt>
                <c:pt idx="1">
                  <c:v>0.40633738040924072</c:v>
                </c:pt>
                <c:pt idx="2">
                  <c:v>0.42667263746261597</c:v>
                </c:pt>
                <c:pt idx="3">
                  <c:v>0.45108622312545776</c:v>
                </c:pt>
                <c:pt idx="4">
                  <c:v>0.46934160590171814</c:v>
                </c:pt>
                <c:pt idx="5">
                  <c:v>0.50057679414749146</c:v>
                </c:pt>
                <c:pt idx="6">
                  <c:v>0.53227531909942627</c:v>
                </c:pt>
                <c:pt idx="7">
                  <c:v>0.55592828989028931</c:v>
                </c:pt>
                <c:pt idx="8">
                  <c:v>0.56244373321533203</c:v>
                </c:pt>
                <c:pt idx="9">
                  <c:v>0.57296884059906006</c:v>
                </c:pt>
                <c:pt idx="10">
                  <c:v>0.56156736612319946</c:v>
                </c:pt>
                <c:pt idx="11">
                  <c:v>0.56547939777374268</c:v>
                </c:pt>
                <c:pt idx="12">
                  <c:v>0.57506477832794189</c:v>
                </c:pt>
                <c:pt idx="13">
                  <c:v>0.58091646432876587</c:v>
                </c:pt>
                <c:pt idx="14">
                  <c:v>0.58755642175674438</c:v>
                </c:pt>
                <c:pt idx="15">
                  <c:v>0.61033183336257935</c:v>
                </c:pt>
                <c:pt idx="16">
                  <c:v>0.63100892305374146</c:v>
                </c:pt>
                <c:pt idx="17">
                  <c:v>0.64658147096633911</c:v>
                </c:pt>
                <c:pt idx="18">
                  <c:v>0.66023379564285278</c:v>
                </c:pt>
                <c:pt idx="19">
                  <c:v>0.67307323217391968</c:v>
                </c:pt>
              </c:numCache>
            </c:numRef>
          </c:val>
          <c:smooth val="0"/>
          <c:extLst>
            <c:ext xmlns:c16="http://schemas.microsoft.com/office/drawing/2014/chart" uri="{C3380CC4-5D6E-409C-BE32-E72D297353CC}">
              <c16:uniqueId val="{00000001-A39F-415D-B99F-B2A4294C9F6D}"/>
            </c:ext>
          </c:extLst>
        </c:ser>
        <c:dLbls>
          <c:showLegendKey val="0"/>
          <c:showVal val="0"/>
          <c:showCatName val="0"/>
          <c:showSerName val="0"/>
          <c:showPercent val="0"/>
          <c:showBubbleSize val="0"/>
        </c:dLbls>
        <c:smooth val="0"/>
        <c:axId val="1136901568"/>
        <c:axId val="650073920"/>
      </c:lineChart>
      <c:catAx>
        <c:axId val="11369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0073920"/>
        <c:crosses val="autoZero"/>
        <c:auto val="1"/>
        <c:lblAlgn val="ctr"/>
        <c:lblOffset val="100"/>
        <c:noMultiLvlLbl val="0"/>
      </c:catAx>
      <c:valAx>
        <c:axId val="65007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Percent</a:t>
                </a:r>
                <a:r>
                  <a:rPr lang="en-US" sz="900" baseline="0"/>
                  <a:t> of total employment</a:t>
                </a:r>
                <a:endParaRPr lang="en-US" sz="9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36901568"/>
        <c:crosses val="autoZero"/>
        <c:crossBetween val="between"/>
      </c:valAx>
      <c:spPr>
        <a:noFill/>
        <a:ln>
          <a:noFill/>
        </a:ln>
        <a:effectLst/>
      </c:spPr>
    </c:plotArea>
    <c:legend>
      <c:legendPos val="b"/>
      <c:layout>
        <c:manualLayout>
          <c:xMode val="edge"/>
          <c:yMode val="edge"/>
          <c:x val="0.12155402449693788"/>
          <c:y val="0.86772021800846322"/>
          <c:w val="0.75689195100612428"/>
          <c:h val="0.111021278590176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Other drivers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11'!$E$5</c:f>
              <c:numCache>
                <c:formatCode>0.00</c:formatCode>
                <c:ptCount val="1"/>
                <c:pt idx="0">
                  <c:v>0.54137693369141904</c:v>
                </c:pt>
              </c:numCache>
            </c:numRef>
          </c:val>
          <c:extLst>
            <c:ext xmlns:c16="http://schemas.microsoft.com/office/drawing/2014/chart" uri="{C3380CC4-5D6E-409C-BE32-E72D297353CC}">
              <c16:uniqueId val="{00000000-E2C7-4C7A-B22A-64B46A84C5CE}"/>
            </c:ext>
          </c:extLst>
        </c:ser>
        <c:ser>
          <c:idx val="1"/>
          <c:order val="1"/>
          <c:tx>
            <c:v>Sector reallocation contribution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11'!$F$5</c:f>
              <c:numCache>
                <c:formatCode>0.00</c:formatCode>
                <c:ptCount val="1"/>
                <c:pt idx="0">
                  <c:v>0.49658485719336054</c:v>
                </c:pt>
              </c:numCache>
            </c:numRef>
          </c:val>
          <c:extLst>
            <c:ext xmlns:c16="http://schemas.microsoft.com/office/drawing/2014/chart" uri="{C3380CC4-5D6E-409C-BE32-E72D297353CC}">
              <c16:uniqueId val="{00000001-E2C7-4C7A-B22A-64B46A84C5CE}"/>
            </c:ext>
          </c:extLst>
        </c:ser>
        <c:dLbls>
          <c:showLegendKey val="0"/>
          <c:showVal val="0"/>
          <c:showCatName val="0"/>
          <c:showSerName val="0"/>
          <c:showPercent val="0"/>
          <c:showBubbleSize val="0"/>
        </c:dLbls>
        <c:gapWidth val="182"/>
        <c:overlap val="100"/>
        <c:axId val="1129983792"/>
        <c:axId val="1111133376"/>
      </c:barChart>
      <c:catAx>
        <c:axId val="1129983792"/>
        <c:scaling>
          <c:orientation val="minMax"/>
        </c:scaling>
        <c:delete val="1"/>
        <c:axPos val="l"/>
        <c:majorTickMark val="none"/>
        <c:minorTickMark val="none"/>
        <c:tickLblPos val="nextTo"/>
        <c:crossAx val="1111133376"/>
        <c:crosses val="autoZero"/>
        <c:auto val="1"/>
        <c:lblAlgn val="ctr"/>
        <c:lblOffset val="100"/>
        <c:noMultiLvlLbl val="0"/>
      </c:catAx>
      <c:valAx>
        <c:axId val="1111133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Growth rate (percent change)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983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Capital!$K$29</c:f>
              <c:strCache>
                <c:ptCount val="1"/>
                <c:pt idx="0">
                  <c:v>TFP</c:v>
                </c:pt>
              </c:strCache>
            </c:strRef>
          </c:tx>
          <c:spPr>
            <a:solidFill>
              <a:schemeClr val="bg1">
                <a:lumMod val="65000"/>
              </a:schemeClr>
            </a:solidFill>
            <a:ln>
              <a:noFill/>
            </a:ln>
            <a:effectLst/>
          </c:spPr>
          <c:cat>
            <c:numRef>
              <c:f>Capital!$J$30:$J$34</c:f>
              <c:numCache>
                <c:formatCode>General</c:formatCode>
                <c:ptCount val="5"/>
                <c:pt idx="0">
                  <c:v>2015</c:v>
                </c:pt>
                <c:pt idx="1">
                  <c:v>2016</c:v>
                </c:pt>
                <c:pt idx="2">
                  <c:v>2017</c:v>
                </c:pt>
                <c:pt idx="3">
                  <c:v>2019</c:v>
                </c:pt>
                <c:pt idx="4">
                  <c:v>2020</c:v>
                </c:pt>
              </c:numCache>
            </c:numRef>
          </c:cat>
          <c:val>
            <c:numRef>
              <c:f>Capital!$K$30:$K$34</c:f>
              <c:numCache>
                <c:formatCode>General</c:formatCode>
                <c:ptCount val="5"/>
                <c:pt idx="0">
                  <c:v>0</c:v>
                </c:pt>
                <c:pt idx="1">
                  <c:v>6.1536999999999509E-2</c:v>
                </c:pt>
                <c:pt idx="2">
                  <c:v>0.15092499999999998</c:v>
                </c:pt>
                <c:pt idx="3">
                  <c:v>0.18447899999999962</c:v>
                </c:pt>
                <c:pt idx="4">
                  <c:v>0.22014399999999945</c:v>
                </c:pt>
              </c:numCache>
            </c:numRef>
          </c:val>
          <c:extLst>
            <c:ext xmlns:c16="http://schemas.microsoft.com/office/drawing/2014/chart" uri="{C3380CC4-5D6E-409C-BE32-E72D297353CC}">
              <c16:uniqueId val="{00000000-9975-4B3D-84E3-358595BBE2BE}"/>
            </c:ext>
          </c:extLst>
        </c:ser>
        <c:ser>
          <c:idx val="1"/>
          <c:order val="1"/>
          <c:tx>
            <c:strRef>
              <c:f>Capital!$L$29</c:f>
              <c:strCache>
                <c:ptCount val="1"/>
                <c:pt idx="0">
                  <c:v>Capital intensity</c:v>
                </c:pt>
              </c:strCache>
            </c:strRef>
          </c:tx>
          <c:spPr>
            <a:solidFill>
              <a:schemeClr val="accent1"/>
            </a:solidFill>
            <a:ln>
              <a:noFill/>
            </a:ln>
            <a:effectLst/>
          </c:spPr>
          <c:cat>
            <c:numRef>
              <c:f>Capital!$J$30:$J$34</c:f>
              <c:numCache>
                <c:formatCode>General</c:formatCode>
                <c:ptCount val="5"/>
                <c:pt idx="0">
                  <c:v>2015</c:v>
                </c:pt>
                <c:pt idx="1">
                  <c:v>2016</c:v>
                </c:pt>
                <c:pt idx="2">
                  <c:v>2017</c:v>
                </c:pt>
                <c:pt idx="3">
                  <c:v>2019</c:v>
                </c:pt>
                <c:pt idx="4">
                  <c:v>2020</c:v>
                </c:pt>
              </c:numCache>
            </c:numRef>
          </c:cat>
          <c:val>
            <c:numRef>
              <c:f>Capital!$L$30:$L$34</c:f>
              <c:numCache>
                <c:formatCode>General</c:formatCode>
                <c:ptCount val="5"/>
                <c:pt idx="0">
                  <c:v>0</c:v>
                </c:pt>
                <c:pt idx="1">
                  <c:v>1.2447399999999997E-2</c:v>
                </c:pt>
                <c:pt idx="2">
                  <c:v>2.3345999999999978E-2</c:v>
                </c:pt>
                <c:pt idx="3">
                  <c:v>2.9586700000000021E-2</c:v>
                </c:pt>
                <c:pt idx="4">
                  <c:v>3.4070199999999995E-2</c:v>
                </c:pt>
              </c:numCache>
            </c:numRef>
          </c:val>
          <c:extLst>
            <c:ext xmlns:c16="http://schemas.microsoft.com/office/drawing/2014/chart" uri="{C3380CC4-5D6E-409C-BE32-E72D297353CC}">
              <c16:uniqueId val="{00000001-9975-4B3D-84E3-358595BBE2BE}"/>
            </c:ext>
          </c:extLst>
        </c:ser>
        <c:ser>
          <c:idx val="2"/>
          <c:order val="2"/>
          <c:tx>
            <c:strRef>
              <c:f>Capital!$M$29</c:f>
              <c:strCache>
                <c:ptCount val="1"/>
                <c:pt idx="0">
                  <c:v>Residual term</c:v>
                </c:pt>
              </c:strCache>
            </c:strRef>
          </c:tx>
          <c:spPr>
            <a:solidFill>
              <a:schemeClr val="accent2"/>
            </a:solidFill>
            <a:ln>
              <a:noFill/>
            </a:ln>
            <a:effectLst/>
          </c:spPr>
          <c:cat>
            <c:numRef>
              <c:f>Capital!$J$30:$J$34</c:f>
              <c:numCache>
                <c:formatCode>General</c:formatCode>
                <c:ptCount val="5"/>
                <c:pt idx="0">
                  <c:v>2015</c:v>
                </c:pt>
                <c:pt idx="1">
                  <c:v>2016</c:v>
                </c:pt>
                <c:pt idx="2">
                  <c:v>2017</c:v>
                </c:pt>
                <c:pt idx="3">
                  <c:v>2019</c:v>
                </c:pt>
                <c:pt idx="4">
                  <c:v>2020</c:v>
                </c:pt>
              </c:numCache>
            </c:numRef>
          </c:cat>
          <c:val>
            <c:numRef>
              <c:f>Capital!$M$30:$M$34</c:f>
              <c:numCache>
                <c:formatCode>General</c:formatCode>
                <c:ptCount val="5"/>
                <c:pt idx="0">
                  <c:v>0</c:v>
                </c:pt>
                <c:pt idx="1">
                  <c:v>2.6760000000092266E-4</c:v>
                </c:pt>
                <c:pt idx="2">
                  <c:v>2.6549999999999629E-3</c:v>
                </c:pt>
                <c:pt idx="3">
                  <c:v>3.0383000000003269E-3</c:v>
                </c:pt>
                <c:pt idx="4">
                  <c:v>3.9488000000011403E-3</c:v>
                </c:pt>
              </c:numCache>
            </c:numRef>
          </c:val>
          <c:extLst>
            <c:ext xmlns:c16="http://schemas.microsoft.com/office/drawing/2014/chart" uri="{C3380CC4-5D6E-409C-BE32-E72D297353CC}">
              <c16:uniqueId val="{00000002-9975-4B3D-84E3-358595BBE2BE}"/>
            </c:ext>
          </c:extLst>
        </c:ser>
        <c:dLbls>
          <c:showLegendKey val="0"/>
          <c:showVal val="0"/>
          <c:showCatName val="0"/>
          <c:showSerName val="0"/>
          <c:showPercent val="0"/>
          <c:showBubbleSize val="0"/>
        </c:dLbls>
        <c:axId val="644304799"/>
        <c:axId val="452443615"/>
      </c:areaChart>
      <c:catAx>
        <c:axId val="6443047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443615"/>
        <c:crosses val="autoZero"/>
        <c:auto val="1"/>
        <c:lblAlgn val="ctr"/>
        <c:lblOffset val="100"/>
        <c:noMultiLvlLbl val="0"/>
      </c:catAx>
      <c:valAx>
        <c:axId val="452443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Log</a:t>
                </a:r>
                <a:r>
                  <a:rPr lang="en-US" sz="900" baseline="0"/>
                  <a:t> differences</a:t>
                </a:r>
                <a:endParaRPr lang="en-US"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3047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7747156605425"/>
          <c:y val="0.24801587301587302"/>
          <c:w val="0.82759660250801981"/>
          <c:h val="0.60796753084435873"/>
        </c:manualLayout>
      </c:layout>
      <c:lineChart>
        <c:grouping val="standard"/>
        <c:varyColors val="0"/>
        <c:ser>
          <c:idx val="0"/>
          <c:order val="0"/>
          <c:tx>
            <c:v>0-4 empl.</c:v>
          </c:tx>
          <c:spPr>
            <a:ln w="28575" cap="rnd">
              <a:solidFill>
                <a:schemeClr val="accent1"/>
              </a:solidFill>
              <a:round/>
            </a:ln>
            <a:effectLst/>
          </c:spPr>
          <c:marker>
            <c:symbol val="none"/>
          </c:marker>
          <c:cat>
            <c:numRef>
              <c:f>'Figures 27-28'!$C$3:$C$9</c:f>
              <c:numCache>
                <c:formatCode>General</c:formatCode>
                <c:ptCount val="7"/>
                <c:pt idx="0">
                  <c:v>2014</c:v>
                </c:pt>
                <c:pt idx="1">
                  <c:v>2015</c:v>
                </c:pt>
                <c:pt idx="2">
                  <c:v>2016</c:v>
                </c:pt>
                <c:pt idx="3">
                  <c:v>2017</c:v>
                </c:pt>
                <c:pt idx="4">
                  <c:v>2018</c:v>
                </c:pt>
                <c:pt idx="5">
                  <c:v>2019</c:v>
                </c:pt>
                <c:pt idx="6">
                  <c:v>2020</c:v>
                </c:pt>
              </c:numCache>
            </c:numRef>
          </c:cat>
          <c:val>
            <c:numRef>
              <c:f>'Figures 27-28'!$D$3:$D$9</c:f>
              <c:numCache>
                <c:formatCode>General</c:formatCode>
                <c:ptCount val="7"/>
                <c:pt idx="0">
                  <c:v>15.253169999999999</c:v>
                </c:pt>
                <c:pt idx="1">
                  <c:v>19.223990000000001</c:v>
                </c:pt>
                <c:pt idx="2">
                  <c:v>18.93852</c:v>
                </c:pt>
                <c:pt idx="3">
                  <c:v>16.64312</c:v>
                </c:pt>
                <c:pt idx="4">
                  <c:v>9.0529700000000002</c:v>
                </c:pt>
                <c:pt idx="5">
                  <c:v>7.1898</c:v>
                </c:pt>
                <c:pt idx="6">
                  <c:v>11.45341</c:v>
                </c:pt>
              </c:numCache>
            </c:numRef>
          </c:val>
          <c:smooth val="0"/>
          <c:extLst>
            <c:ext xmlns:c16="http://schemas.microsoft.com/office/drawing/2014/chart" uri="{C3380CC4-5D6E-409C-BE32-E72D297353CC}">
              <c16:uniqueId val="{00000000-BA4B-4D3E-82BA-230BD67755D9}"/>
            </c:ext>
          </c:extLst>
        </c:ser>
        <c:ser>
          <c:idx val="1"/>
          <c:order val="1"/>
          <c:tx>
            <c:v>5-19</c:v>
          </c:tx>
          <c:spPr>
            <a:ln w="28575" cap="rnd">
              <a:solidFill>
                <a:schemeClr val="accent2"/>
              </a:solidFill>
              <a:round/>
            </a:ln>
            <a:effectLst/>
          </c:spPr>
          <c:marker>
            <c:symbol val="none"/>
          </c:marker>
          <c:val>
            <c:numRef>
              <c:f>'Figures 27-28'!$D$10:$D$16</c:f>
              <c:numCache>
                <c:formatCode>General</c:formatCode>
                <c:ptCount val="7"/>
                <c:pt idx="0">
                  <c:v>8.1066900000000004</c:v>
                </c:pt>
                <c:pt idx="1">
                  <c:v>9.5653799999999993</c:v>
                </c:pt>
                <c:pt idx="2">
                  <c:v>10.14066</c:v>
                </c:pt>
                <c:pt idx="3">
                  <c:v>9.5566100000000009</c:v>
                </c:pt>
                <c:pt idx="4">
                  <c:v>6.6793900000000006</c:v>
                </c:pt>
                <c:pt idx="5">
                  <c:v>5.8759499999999996</c:v>
                </c:pt>
                <c:pt idx="6">
                  <c:v>7.5172500000000007</c:v>
                </c:pt>
              </c:numCache>
            </c:numRef>
          </c:val>
          <c:smooth val="0"/>
          <c:extLst>
            <c:ext xmlns:c16="http://schemas.microsoft.com/office/drawing/2014/chart" uri="{C3380CC4-5D6E-409C-BE32-E72D297353CC}">
              <c16:uniqueId val="{00000001-BA4B-4D3E-82BA-230BD67755D9}"/>
            </c:ext>
          </c:extLst>
        </c:ser>
        <c:ser>
          <c:idx val="2"/>
          <c:order val="2"/>
          <c:tx>
            <c:v>20-99</c:v>
          </c:tx>
          <c:spPr>
            <a:ln w="28575" cap="rnd">
              <a:solidFill>
                <a:schemeClr val="accent3"/>
              </a:solidFill>
              <a:round/>
            </a:ln>
            <a:effectLst/>
          </c:spPr>
          <c:marker>
            <c:symbol val="none"/>
          </c:marker>
          <c:val>
            <c:numRef>
              <c:f>'Figures 27-28'!$D$17:$D$23</c:f>
              <c:numCache>
                <c:formatCode>General</c:formatCode>
                <c:ptCount val="7"/>
                <c:pt idx="0">
                  <c:v>3.4530900000000004</c:v>
                </c:pt>
                <c:pt idx="1">
                  <c:v>3.8658999999999999</c:v>
                </c:pt>
                <c:pt idx="2">
                  <c:v>4.1936099999999996</c:v>
                </c:pt>
                <c:pt idx="3">
                  <c:v>3.2762100000000003</c:v>
                </c:pt>
                <c:pt idx="4">
                  <c:v>2.4990600000000001</c:v>
                </c:pt>
                <c:pt idx="5">
                  <c:v>2.8577399999999997</c:v>
                </c:pt>
                <c:pt idx="6">
                  <c:v>4.1454699999999995</c:v>
                </c:pt>
              </c:numCache>
            </c:numRef>
          </c:val>
          <c:smooth val="0"/>
          <c:extLst>
            <c:ext xmlns:c16="http://schemas.microsoft.com/office/drawing/2014/chart" uri="{C3380CC4-5D6E-409C-BE32-E72D297353CC}">
              <c16:uniqueId val="{00000002-BA4B-4D3E-82BA-230BD67755D9}"/>
            </c:ext>
          </c:extLst>
        </c:ser>
        <c:ser>
          <c:idx val="3"/>
          <c:order val="3"/>
          <c:tx>
            <c:v>100-249</c:v>
          </c:tx>
          <c:spPr>
            <a:ln w="28575" cap="rnd">
              <a:solidFill>
                <a:schemeClr val="accent4"/>
              </a:solidFill>
              <a:round/>
            </a:ln>
            <a:effectLst/>
          </c:spPr>
          <c:marker>
            <c:symbol val="none"/>
          </c:marker>
          <c:val>
            <c:numRef>
              <c:f>'Figures 27-28'!$D$24:$D$30</c:f>
              <c:numCache>
                <c:formatCode>General</c:formatCode>
                <c:ptCount val="7"/>
                <c:pt idx="0">
                  <c:v>1.4451800000000001</c:v>
                </c:pt>
                <c:pt idx="1">
                  <c:v>1.58907</c:v>
                </c:pt>
                <c:pt idx="2">
                  <c:v>2.3953700000000002</c:v>
                </c:pt>
                <c:pt idx="3">
                  <c:v>1.2118899999999999</c:v>
                </c:pt>
                <c:pt idx="4">
                  <c:v>1.14591</c:v>
                </c:pt>
                <c:pt idx="5">
                  <c:v>1.5076400000000001</c:v>
                </c:pt>
                <c:pt idx="6">
                  <c:v>2.4052699999999998</c:v>
                </c:pt>
              </c:numCache>
            </c:numRef>
          </c:val>
          <c:smooth val="0"/>
          <c:extLst>
            <c:ext xmlns:c16="http://schemas.microsoft.com/office/drawing/2014/chart" uri="{C3380CC4-5D6E-409C-BE32-E72D297353CC}">
              <c16:uniqueId val="{00000003-BA4B-4D3E-82BA-230BD67755D9}"/>
            </c:ext>
          </c:extLst>
        </c:ser>
        <c:ser>
          <c:idx val="4"/>
          <c:order val="4"/>
          <c:tx>
            <c:v>&gt;=250</c:v>
          </c:tx>
          <c:spPr>
            <a:ln w="28575" cap="rnd">
              <a:solidFill>
                <a:schemeClr val="accent5"/>
              </a:solidFill>
              <a:round/>
            </a:ln>
            <a:effectLst/>
          </c:spPr>
          <c:marker>
            <c:symbol val="none"/>
          </c:marker>
          <c:val>
            <c:numRef>
              <c:f>'Figures 27-28'!$D$31:$D$37</c:f>
              <c:numCache>
                <c:formatCode>General</c:formatCode>
                <c:ptCount val="7"/>
                <c:pt idx="0">
                  <c:v>0.93173000000000006</c:v>
                </c:pt>
                <c:pt idx="1">
                  <c:v>0.90633999999999992</c:v>
                </c:pt>
                <c:pt idx="2">
                  <c:v>1.1908000000000001</c:v>
                </c:pt>
                <c:pt idx="3">
                  <c:v>0.72609999999999997</c:v>
                </c:pt>
                <c:pt idx="4">
                  <c:v>0.5958</c:v>
                </c:pt>
                <c:pt idx="5">
                  <c:v>0.84948000000000001</c:v>
                </c:pt>
                <c:pt idx="6">
                  <c:v>1.7389000000000001</c:v>
                </c:pt>
              </c:numCache>
            </c:numRef>
          </c:val>
          <c:smooth val="0"/>
          <c:extLst>
            <c:ext xmlns:c16="http://schemas.microsoft.com/office/drawing/2014/chart" uri="{C3380CC4-5D6E-409C-BE32-E72D297353CC}">
              <c16:uniqueId val="{00000004-BA4B-4D3E-82BA-230BD67755D9}"/>
            </c:ext>
          </c:extLst>
        </c:ser>
        <c:dLbls>
          <c:showLegendKey val="0"/>
          <c:showVal val="0"/>
          <c:showCatName val="0"/>
          <c:showSerName val="0"/>
          <c:showPercent val="0"/>
          <c:showBubbleSize val="0"/>
        </c:dLbls>
        <c:smooth val="0"/>
        <c:axId val="1048470416"/>
        <c:axId val="1012647344"/>
      </c:lineChart>
      <c:catAx>
        <c:axId val="104847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2647344"/>
        <c:crosses val="autoZero"/>
        <c:auto val="1"/>
        <c:lblAlgn val="ctr"/>
        <c:lblOffset val="100"/>
        <c:noMultiLvlLbl val="0"/>
      </c:catAx>
      <c:valAx>
        <c:axId val="1012647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8470416"/>
        <c:crosses val="autoZero"/>
        <c:crossBetween val="between"/>
      </c:valAx>
      <c:spPr>
        <a:noFill/>
        <a:ln w="25400">
          <a:noFill/>
        </a:ln>
        <a:effectLst/>
      </c:spPr>
    </c:plotArea>
    <c:legend>
      <c:legendPos val="t"/>
      <c:layout>
        <c:manualLayout>
          <c:xMode val="edge"/>
          <c:yMode val="edge"/>
          <c:x val="2.8309638378536017E-2"/>
          <c:y val="4.2517006802721087E-2"/>
          <c:w val="0.95263998250218718"/>
          <c:h val="0.14261163783098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818840579710144E-2"/>
          <c:y val="4.7629357003680449E-2"/>
          <c:w val="0.90036231884057971"/>
          <c:h val="0.63163721226771308"/>
        </c:manualLayout>
      </c:layout>
      <c:barChart>
        <c:barDir val="col"/>
        <c:grouping val="clustered"/>
        <c:varyColors val="0"/>
        <c:ser>
          <c:idx val="0"/>
          <c:order val="0"/>
          <c:tx>
            <c:strRef>
              <c:f>Figures!$A$3</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Figures!$B$2:$E$2</c:f>
              <c:strCache>
                <c:ptCount val="4"/>
                <c:pt idx="0">
                  <c:v>Law</c:v>
                </c:pt>
                <c:pt idx="1">
                  <c:v>Decree</c:v>
                </c:pt>
                <c:pt idx="2">
                  <c:v>Circular</c:v>
                </c:pt>
                <c:pt idx="3">
                  <c:v>Decision </c:v>
                </c:pt>
              </c:strCache>
            </c:strRef>
          </c:cat>
          <c:val>
            <c:numRef>
              <c:f>Figures!$B$3:$E$3</c:f>
              <c:numCache>
                <c:formatCode>General</c:formatCode>
                <c:ptCount val="4"/>
                <c:pt idx="0">
                  <c:v>2</c:v>
                </c:pt>
                <c:pt idx="1">
                  <c:v>10</c:v>
                </c:pt>
                <c:pt idx="2">
                  <c:v>16</c:v>
                </c:pt>
                <c:pt idx="3">
                  <c:v>0</c:v>
                </c:pt>
              </c:numCache>
            </c:numRef>
          </c:val>
          <c:extLst>
            <c:ext xmlns:c16="http://schemas.microsoft.com/office/drawing/2014/chart" uri="{C3380CC4-5D6E-409C-BE32-E72D297353CC}">
              <c16:uniqueId val="{00000000-7FA0-44A5-8691-293CE64AFB18}"/>
            </c:ext>
          </c:extLst>
        </c:ser>
        <c:ser>
          <c:idx val="1"/>
          <c:order val="1"/>
          <c:tx>
            <c:strRef>
              <c:f>Figures!$A$4</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Figures!$B$2:$E$2</c:f>
              <c:strCache>
                <c:ptCount val="4"/>
                <c:pt idx="0">
                  <c:v>Law</c:v>
                </c:pt>
                <c:pt idx="1">
                  <c:v>Decree</c:v>
                </c:pt>
                <c:pt idx="2">
                  <c:v>Circular</c:v>
                </c:pt>
                <c:pt idx="3">
                  <c:v>Decision </c:v>
                </c:pt>
              </c:strCache>
            </c:strRef>
          </c:cat>
          <c:val>
            <c:numRef>
              <c:f>Figures!$B$4:$E$4</c:f>
              <c:numCache>
                <c:formatCode>General</c:formatCode>
                <c:ptCount val="4"/>
                <c:pt idx="0">
                  <c:v>0</c:v>
                </c:pt>
                <c:pt idx="1">
                  <c:v>18</c:v>
                </c:pt>
                <c:pt idx="2">
                  <c:v>43</c:v>
                </c:pt>
                <c:pt idx="3">
                  <c:v>0</c:v>
                </c:pt>
              </c:numCache>
            </c:numRef>
          </c:val>
          <c:extLst>
            <c:ext xmlns:c16="http://schemas.microsoft.com/office/drawing/2014/chart" uri="{C3380CC4-5D6E-409C-BE32-E72D297353CC}">
              <c16:uniqueId val="{00000001-7FA0-44A5-8691-293CE64AFB18}"/>
            </c:ext>
          </c:extLst>
        </c:ser>
        <c:ser>
          <c:idx val="2"/>
          <c:order val="2"/>
          <c:tx>
            <c:strRef>
              <c:f>Figures!$A$5</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Figures!$B$2:$E$2</c:f>
              <c:strCache>
                <c:ptCount val="4"/>
                <c:pt idx="0">
                  <c:v>Law</c:v>
                </c:pt>
                <c:pt idx="1">
                  <c:v>Decree</c:v>
                </c:pt>
                <c:pt idx="2">
                  <c:v>Circular</c:v>
                </c:pt>
                <c:pt idx="3">
                  <c:v>Decision </c:v>
                </c:pt>
              </c:strCache>
            </c:strRef>
          </c:cat>
          <c:val>
            <c:numRef>
              <c:f>Figures!$B$5:$E$5</c:f>
              <c:numCache>
                <c:formatCode>General</c:formatCode>
                <c:ptCount val="4"/>
                <c:pt idx="0">
                  <c:v>1</c:v>
                </c:pt>
                <c:pt idx="1">
                  <c:v>24</c:v>
                </c:pt>
                <c:pt idx="2">
                  <c:v>56</c:v>
                </c:pt>
                <c:pt idx="3">
                  <c:v>0</c:v>
                </c:pt>
              </c:numCache>
            </c:numRef>
          </c:val>
          <c:extLst>
            <c:ext xmlns:c16="http://schemas.microsoft.com/office/drawing/2014/chart" uri="{C3380CC4-5D6E-409C-BE32-E72D297353CC}">
              <c16:uniqueId val="{00000002-7FA0-44A5-8691-293CE64AFB18}"/>
            </c:ext>
          </c:extLst>
        </c:ser>
        <c:ser>
          <c:idx val="3"/>
          <c:order val="3"/>
          <c:tx>
            <c:strRef>
              <c:f>Figures!$A$6</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Figures!$B$2:$E$2</c:f>
              <c:strCache>
                <c:ptCount val="4"/>
                <c:pt idx="0">
                  <c:v>Law</c:v>
                </c:pt>
                <c:pt idx="1">
                  <c:v>Decree</c:v>
                </c:pt>
                <c:pt idx="2">
                  <c:v>Circular</c:v>
                </c:pt>
                <c:pt idx="3">
                  <c:v>Decision </c:v>
                </c:pt>
              </c:strCache>
            </c:strRef>
          </c:cat>
          <c:val>
            <c:numRef>
              <c:f>Figures!$B$6:$E$6</c:f>
              <c:numCache>
                <c:formatCode>General</c:formatCode>
                <c:ptCount val="4"/>
                <c:pt idx="0">
                  <c:v>3</c:v>
                </c:pt>
                <c:pt idx="1">
                  <c:v>21</c:v>
                </c:pt>
                <c:pt idx="2">
                  <c:v>48</c:v>
                </c:pt>
                <c:pt idx="3">
                  <c:v>2</c:v>
                </c:pt>
              </c:numCache>
            </c:numRef>
          </c:val>
          <c:extLst>
            <c:ext xmlns:c16="http://schemas.microsoft.com/office/drawing/2014/chart" uri="{C3380CC4-5D6E-409C-BE32-E72D297353CC}">
              <c16:uniqueId val="{00000003-7FA0-44A5-8691-293CE64AFB18}"/>
            </c:ext>
          </c:extLst>
        </c:ser>
        <c:dLbls>
          <c:showLegendKey val="0"/>
          <c:showVal val="0"/>
          <c:showCatName val="0"/>
          <c:showSerName val="0"/>
          <c:showPercent val="0"/>
          <c:showBubbleSize val="0"/>
        </c:dLbls>
        <c:gapWidth val="219"/>
        <c:overlap val="-27"/>
        <c:axId val="988741568"/>
        <c:axId val="988742048"/>
      </c:barChart>
      <c:catAx>
        <c:axId val="9887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8742048"/>
        <c:crosses val="autoZero"/>
        <c:auto val="1"/>
        <c:lblAlgn val="ctr"/>
        <c:lblOffset val="100"/>
        <c:noMultiLvlLbl val="0"/>
      </c:catAx>
      <c:valAx>
        <c:axId val="988742048"/>
        <c:scaling>
          <c:orientation val="minMax"/>
        </c:scaling>
        <c:delete val="1"/>
        <c:axPos val="l"/>
        <c:numFmt formatCode="General" sourceLinked="1"/>
        <c:majorTickMark val="none"/>
        <c:minorTickMark val="none"/>
        <c:tickLblPos val="nextTo"/>
        <c:crossAx val="98874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45398001720378"/>
          <c:y val="3.155026530904919E-2"/>
          <c:w val="0.79213425527691395"/>
          <c:h val="0.43557320643968706"/>
        </c:manualLayout>
      </c:layout>
      <c:barChart>
        <c:barDir val="col"/>
        <c:grouping val="stacked"/>
        <c:varyColors val="0"/>
        <c:ser>
          <c:idx val="0"/>
          <c:order val="0"/>
          <c:tx>
            <c:strRef>
              <c:f>Figures!$B$21</c:f>
              <c:strCache>
                <c:ptCount val="1"/>
                <c:pt idx="0">
                  <c:v>Number of legal documents issued</c:v>
                </c:pt>
              </c:strCache>
            </c:strRef>
          </c:tx>
          <c:spPr>
            <a:solidFill>
              <a:schemeClr val="accent1"/>
            </a:solidFill>
            <a:ln>
              <a:noFill/>
            </a:ln>
            <a:effectLst/>
          </c:spPr>
          <c:invertIfNegative val="0"/>
          <c:cat>
            <c:strRef>
              <c:f>Figures!$A$22:$A$38</c:f>
              <c:strCache>
                <c:ptCount val="17"/>
                <c:pt idx="0">
                  <c:v>Ministry of Defence</c:v>
                </c:pt>
                <c:pt idx="1">
                  <c:v>Ministry of Justice</c:v>
                </c:pt>
                <c:pt idx="2">
                  <c:v>Ministry of Culture, Sports and Tourism</c:v>
                </c:pt>
                <c:pt idx="3">
                  <c:v>Ministry of Construction</c:v>
                </c:pt>
                <c:pt idx="4">
                  <c:v>Ministry of Natural Resources and Environment</c:v>
                </c:pt>
                <c:pt idx="5">
                  <c:v>Ministry of Industry and Trade</c:v>
                </c:pt>
                <c:pt idx="6">
                  <c:v>Ministry of Labour, Invalids and Social Affairs</c:v>
                </c:pt>
                <c:pt idx="7">
                  <c:v>Ministry of Science and Technology</c:v>
                </c:pt>
                <c:pt idx="8">
                  <c:v>Ministry of Public Security</c:v>
                </c:pt>
                <c:pt idx="9">
                  <c:v>Ministry of Planning and Investment</c:v>
                </c:pt>
                <c:pt idx="10">
                  <c:v>State Bank of Vietnam</c:v>
                </c:pt>
                <c:pt idx="11">
                  <c:v>Ministry of Education and Training</c:v>
                </c:pt>
                <c:pt idx="12">
                  <c:v>Ministry of Finance</c:v>
                </c:pt>
                <c:pt idx="13">
                  <c:v>Ministry of Information and Communications</c:v>
                </c:pt>
                <c:pt idx="14">
                  <c:v>Ministry of Agriculture and Rural Development</c:v>
                </c:pt>
                <c:pt idx="15">
                  <c:v>Ministry of Health</c:v>
                </c:pt>
                <c:pt idx="16">
                  <c:v>Ministry of Transport</c:v>
                </c:pt>
              </c:strCache>
            </c:strRef>
          </c:cat>
          <c:val>
            <c:numRef>
              <c:f>Figures!$B$22:$B$38</c:f>
              <c:numCache>
                <c:formatCode>General</c:formatCode>
                <c:ptCount val="17"/>
                <c:pt idx="0">
                  <c:v>1</c:v>
                </c:pt>
                <c:pt idx="1">
                  <c:v>2</c:v>
                </c:pt>
                <c:pt idx="2">
                  <c:v>2</c:v>
                </c:pt>
                <c:pt idx="3">
                  <c:v>5</c:v>
                </c:pt>
                <c:pt idx="4">
                  <c:v>7</c:v>
                </c:pt>
                <c:pt idx="5">
                  <c:v>8</c:v>
                </c:pt>
                <c:pt idx="6">
                  <c:v>9</c:v>
                </c:pt>
                <c:pt idx="7">
                  <c:v>10</c:v>
                </c:pt>
                <c:pt idx="8">
                  <c:v>11</c:v>
                </c:pt>
                <c:pt idx="9">
                  <c:v>17</c:v>
                </c:pt>
                <c:pt idx="10">
                  <c:v>20</c:v>
                </c:pt>
                <c:pt idx="11">
                  <c:v>21</c:v>
                </c:pt>
                <c:pt idx="12">
                  <c:v>22</c:v>
                </c:pt>
                <c:pt idx="13">
                  <c:v>22</c:v>
                </c:pt>
                <c:pt idx="14">
                  <c:v>24</c:v>
                </c:pt>
                <c:pt idx="15">
                  <c:v>24</c:v>
                </c:pt>
                <c:pt idx="16">
                  <c:v>39</c:v>
                </c:pt>
              </c:numCache>
            </c:numRef>
          </c:val>
          <c:extLst>
            <c:ext xmlns:c16="http://schemas.microsoft.com/office/drawing/2014/chart" uri="{C3380CC4-5D6E-409C-BE32-E72D297353CC}">
              <c16:uniqueId val="{00000000-10B6-425D-92D1-7B8107ACF74C}"/>
            </c:ext>
          </c:extLst>
        </c:ser>
        <c:ser>
          <c:idx val="1"/>
          <c:order val="1"/>
          <c:tx>
            <c:strRef>
              <c:f>Figures!$C$21</c:f>
              <c:strCache>
                <c:ptCount val="1"/>
                <c:pt idx="0">
                  <c:v>Number of legal documents to be amended</c:v>
                </c:pt>
              </c:strCache>
            </c:strRef>
          </c:tx>
          <c:spPr>
            <a:solidFill>
              <a:schemeClr val="accent2"/>
            </a:solidFill>
            <a:ln>
              <a:noFill/>
            </a:ln>
            <a:effectLst/>
          </c:spPr>
          <c:invertIfNegative val="0"/>
          <c:cat>
            <c:strRef>
              <c:f>Figures!$A$22:$A$38</c:f>
              <c:strCache>
                <c:ptCount val="17"/>
                <c:pt idx="0">
                  <c:v>Ministry of Defence</c:v>
                </c:pt>
                <c:pt idx="1">
                  <c:v>Ministry of Justice</c:v>
                </c:pt>
                <c:pt idx="2">
                  <c:v>Ministry of Culture, Sports and Tourism</c:v>
                </c:pt>
                <c:pt idx="3">
                  <c:v>Ministry of Construction</c:v>
                </c:pt>
                <c:pt idx="4">
                  <c:v>Ministry of Natural Resources and Environment</c:v>
                </c:pt>
                <c:pt idx="5">
                  <c:v>Ministry of Industry and Trade</c:v>
                </c:pt>
                <c:pt idx="6">
                  <c:v>Ministry of Labour, Invalids and Social Affairs</c:v>
                </c:pt>
                <c:pt idx="7">
                  <c:v>Ministry of Science and Technology</c:v>
                </c:pt>
                <c:pt idx="8">
                  <c:v>Ministry of Public Security</c:v>
                </c:pt>
                <c:pt idx="9">
                  <c:v>Ministry of Planning and Investment</c:v>
                </c:pt>
                <c:pt idx="10">
                  <c:v>State Bank of Vietnam</c:v>
                </c:pt>
                <c:pt idx="11">
                  <c:v>Ministry of Education and Training</c:v>
                </c:pt>
                <c:pt idx="12">
                  <c:v>Ministry of Finance</c:v>
                </c:pt>
                <c:pt idx="13">
                  <c:v>Ministry of Information and Communications</c:v>
                </c:pt>
                <c:pt idx="14">
                  <c:v>Ministry of Agriculture and Rural Development</c:v>
                </c:pt>
                <c:pt idx="15">
                  <c:v>Ministry of Health</c:v>
                </c:pt>
                <c:pt idx="16">
                  <c:v>Ministry of Transport</c:v>
                </c:pt>
              </c:strCache>
            </c:strRef>
          </c:cat>
          <c:val>
            <c:numRef>
              <c:f>Figures!$C$22:$C$38</c:f>
              <c:numCache>
                <c:formatCode>General</c:formatCode>
                <c:ptCount val="17"/>
                <c:pt idx="0">
                  <c:v>3</c:v>
                </c:pt>
                <c:pt idx="4">
                  <c:v>29</c:v>
                </c:pt>
                <c:pt idx="6">
                  <c:v>7</c:v>
                </c:pt>
                <c:pt idx="7">
                  <c:v>3</c:v>
                </c:pt>
                <c:pt idx="8">
                  <c:v>2</c:v>
                </c:pt>
                <c:pt idx="9">
                  <c:v>19</c:v>
                </c:pt>
                <c:pt idx="10">
                  <c:v>6</c:v>
                </c:pt>
                <c:pt idx="11">
                  <c:v>7</c:v>
                </c:pt>
                <c:pt idx="13">
                  <c:v>19</c:v>
                </c:pt>
                <c:pt idx="14">
                  <c:v>4</c:v>
                </c:pt>
                <c:pt idx="15">
                  <c:v>5</c:v>
                </c:pt>
                <c:pt idx="16">
                  <c:v>3</c:v>
                </c:pt>
              </c:numCache>
            </c:numRef>
          </c:val>
          <c:extLst>
            <c:ext xmlns:c16="http://schemas.microsoft.com/office/drawing/2014/chart" uri="{C3380CC4-5D6E-409C-BE32-E72D297353CC}">
              <c16:uniqueId val="{00000001-10B6-425D-92D1-7B8107ACF74C}"/>
            </c:ext>
          </c:extLst>
        </c:ser>
        <c:dLbls>
          <c:showLegendKey val="0"/>
          <c:showVal val="0"/>
          <c:showCatName val="0"/>
          <c:showSerName val="0"/>
          <c:showPercent val="0"/>
          <c:showBubbleSize val="0"/>
        </c:dLbls>
        <c:gapWidth val="150"/>
        <c:overlap val="100"/>
        <c:axId val="965077504"/>
        <c:axId val="965077984"/>
      </c:barChart>
      <c:catAx>
        <c:axId val="96507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965077984"/>
        <c:crosses val="autoZero"/>
        <c:auto val="1"/>
        <c:lblAlgn val="ctr"/>
        <c:lblOffset val="100"/>
        <c:noMultiLvlLbl val="0"/>
      </c:catAx>
      <c:valAx>
        <c:axId val="965077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77504"/>
        <c:crosses val="autoZero"/>
        <c:crossBetween val="between"/>
      </c:valAx>
      <c:spPr>
        <a:noFill/>
        <a:ln>
          <a:noFill/>
        </a:ln>
        <a:effectLst/>
      </c:spPr>
    </c:plotArea>
    <c:legend>
      <c:legendPos val="b"/>
      <c:layout>
        <c:manualLayout>
          <c:xMode val="edge"/>
          <c:yMode val="edge"/>
          <c:x val="0.14414444517964664"/>
          <c:y val="0.84913390650797227"/>
          <c:w val="0.7831393502282803"/>
          <c:h val="7.4284687457412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Sheet1!$B$56:$B$74</c:f>
              <c:strCache>
                <c:ptCount val="19"/>
                <c:pt idx="0">
                  <c:v>Ministry of Home Affairs</c:v>
                </c:pt>
                <c:pt idx="1">
                  <c:v>Ministry of National Defense</c:v>
                </c:pt>
                <c:pt idx="2">
                  <c:v>Social Insurance of Vietnam</c:v>
                </c:pt>
                <c:pt idx="3">
                  <c:v>Ministry of Culture, Sports and Tourism</c:v>
                </c:pt>
                <c:pt idx="4">
                  <c:v>State Bank of Vietnam</c:v>
                </c:pt>
                <c:pt idx="5">
                  <c:v>Ministry of Agriculture and Rural Development</c:v>
                </c:pt>
                <c:pt idx="6">
                  <c:v>Ministry of Labour - Invalids and Social Affairs</c:v>
                </c:pt>
                <c:pt idx="7">
                  <c:v>Ministry of Construction</c:v>
                </c:pt>
                <c:pt idx="8">
                  <c:v>Ministry of Planning and Investment</c:v>
                </c:pt>
                <c:pt idx="9">
                  <c:v>Ministry of Transport</c:v>
                </c:pt>
                <c:pt idx="10">
                  <c:v>Ministry of Science and Technology</c:v>
                </c:pt>
                <c:pt idx="11">
                  <c:v>Ministry of Finance</c:v>
                </c:pt>
                <c:pt idx="12">
                  <c:v>Ministry of Natural Resources and Environment</c:v>
                </c:pt>
                <c:pt idx="13">
                  <c:v>Ministry of Industry and Trade</c:v>
                </c:pt>
                <c:pt idx="14">
                  <c:v>Ministry of Health</c:v>
                </c:pt>
                <c:pt idx="15">
                  <c:v>Ministry of Information and Communications</c:v>
                </c:pt>
                <c:pt idx="16">
                  <c:v>Ministry of Public Security</c:v>
                </c:pt>
                <c:pt idx="17">
                  <c:v>Ministry of Education and Training</c:v>
                </c:pt>
                <c:pt idx="18">
                  <c:v>Ministry of Justice</c:v>
                </c:pt>
              </c:strCache>
            </c:strRef>
          </c:cat>
          <c:val>
            <c:numRef>
              <c:f>Sheet1!$C$56:$C$74</c:f>
              <c:numCache>
                <c:formatCode>0%</c:formatCode>
                <c:ptCount val="19"/>
                <c:pt idx="0">
                  <c:v>0.5</c:v>
                </c:pt>
                <c:pt idx="1">
                  <c:v>0.76923076923076927</c:v>
                </c:pt>
                <c:pt idx="2">
                  <c:v>0.8</c:v>
                </c:pt>
                <c:pt idx="3">
                  <c:v>0.80952380952380953</c:v>
                </c:pt>
                <c:pt idx="4">
                  <c:v>0.8230337078651685</c:v>
                </c:pt>
                <c:pt idx="5">
                  <c:v>0.8729281767955801</c:v>
                </c:pt>
                <c:pt idx="6">
                  <c:v>0.88732394366197187</c:v>
                </c:pt>
                <c:pt idx="7">
                  <c:v>0.90942028985507251</c:v>
                </c:pt>
                <c:pt idx="8">
                  <c:v>0.9285714285714286</c:v>
                </c:pt>
                <c:pt idx="9">
                  <c:v>0.93995381062355654</c:v>
                </c:pt>
                <c:pt idx="10">
                  <c:v>0.9438202247191011</c:v>
                </c:pt>
                <c:pt idx="11">
                  <c:v>0.96483001172332938</c:v>
                </c:pt>
                <c:pt idx="12">
                  <c:v>0.9887640449438202</c:v>
                </c:pt>
                <c:pt idx="13">
                  <c:v>0.99355877616747179</c:v>
                </c:pt>
                <c:pt idx="14">
                  <c:v>0.99680511182108622</c:v>
                </c:pt>
                <c:pt idx="15">
                  <c:v>0.99723756906077343</c:v>
                </c:pt>
                <c:pt idx="16">
                  <c:v>1</c:v>
                </c:pt>
                <c:pt idx="17">
                  <c:v>1</c:v>
                </c:pt>
                <c:pt idx="18">
                  <c:v>1</c:v>
                </c:pt>
              </c:numCache>
            </c:numRef>
          </c:val>
          <c:extLst>
            <c:ext xmlns:c16="http://schemas.microsoft.com/office/drawing/2014/chart" uri="{C3380CC4-5D6E-409C-BE32-E72D297353CC}">
              <c16:uniqueId val="{00000000-2E5A-4C53-B08A-6CD84E6A6C39}"/>
            </c:ext>
          </c:extLst>
        </c:ser>
        <c:dLbls>
          <c:showLegendKey val="0"/>
          <c:showVal val="0"/>
          <c:showCatName val="0"/>
          <c:showSerName val="0"/>
          <c:showPercent val="0"/>
          <c:showBubbleSize val="0"/>
        </c:dLbls>
        <c:gapWidth val="182"/>
        <c:axId val="151824192"/>
        <c:axId val="1965871376"/>
      </c:barChart>
      <c:catAx>
        <c:axId val="15182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65871376"/>
        <c:crosses val="autoZero"/>
        <c:auto val="1"/>
        <c:lblAlgn val="ctr"/>
        <c:lblOffset val="100"/>
        <c:tickLblSkip val="1"/>
        <c:noMultiLvlLbl val="0"/>
      </c:catAx>
      <c:valAx>
        <c:axId val="1965871376"/>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24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37688067583919"/>
          <c:y val="4.2194160512544619E-2"/>
          <c:w val="0.41436092482574577"/>
          <c:h val="0.85412627769354921"/>
        </c:manualLayout>
      </c:layout>
      <c:barChart>
        <c:barDir val="bar"/>
        <c:grouping val="clustered"/>
        <c:varyColors val="0"/>
        <c:ser>
          <c:idx val="0"/>
          <c:order val="0"/>
          <c:tx>
            <c:strRef>
              <c:f>Dashboard!$E$44</c:f>
              <c:strCache>
                <c:ptCount val="1"/>
                <c:pt idx="0">
                  <c:v>APs having 0 transaction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Dashboard!$D$45:$D$63</c:f>
              <c:strCache>
                <c:ptCount val="19"/>
                <c:pt idx="0">
                  <c:v>Social Insurance of Vietnam</c:v>
                </c:pt>
                <c:pt idx="1">
                  <c:v>Ministry of Education and Training</c:v>
                </c:pt>
                <c:pt idx="2">
                  <c:v>Ministry of Industry and Trade</c:v>
                </c:pt>
                <c:pt idx="3">
                  <c:v>Ministry of Home Affairs</c:v>
                </c:pt>
                <c:pt idx="4">
                  <c:v>Ministry of Natural Resources and Environment</c:v>
                </c:pt>
                <c:pt idx="5">
                  <c:v>Ministry of Information and Communications</c:v>
                </c:pt>
                <c:pt idx="6">
                  <c:v>Ministry of Health</c:v>
                </c:pt>
                <c:pt idx="7">
                  <c:v>Ministry of Science and Technology</c:v>
                </c:pt>
                <c:pt idx="8">
                  <c:v>Ministry of National Defense</c:v>
                </c:pt>
                <c:pt idx="9">
                  <c:v>Ministry of Justice</c:v>
                </c:pt>
                <c:pt idx="10">
                  <c:v>Ministry of Labour - Invalids and Social Affairs</c:v>
                </c:pt>
                <c:pt idx="11">
                  <c:v>Ministry of Culture, Sports and Tourism</c:v>
                </c:pt>
                <c:pt idx="12">
                  <c:v>Ministry of Public Security</c:v>
                </c:pt>
                <c:pt idx="13">
                  <c:v>State Bank of Vietnam</c:v>
                </c:pt>
                <c:pt idx="14">
                  <c:v>Ministry of Planning and Investment</c:v>
                </c:pt>
                <c:pt idx="15">
                  <c:v>Ministry of Agriculture and Rural Development</c:v>
                </c:pt>
                <c:pt idx="16">
                  <c:v>Ministry of Construction</c:v>
                </c:pt>
                <c:pt idx="17">
                  <c:v>Ministry of Transport</c:v>
                </c:pt>
                <c:pt idx="18">
                  <c:v>Ministry of Finance</c:v>
                </c:pt>
              </c:strCache>
            </c:strRef>
          </c:cat>
          <c:val>
            <c:numRef>
              <c:f>Dashboard!$E$45:$E$63</c:f>
              <c:numCache>
                <c:formatCode>General</c:formatCode>
                <c:ptCount val="19"/>
                <c:pt idx="0">
                  <c:v>0</c:v>
                </c:pt>
                <c:pt idx="1">
                  <c:v>0</c:v>
                </c:pt>
                <c:pt idx="2">
                  <c:v>2</c:v>
                </c:pt>
                <c:pt idx="3">
                  <c:v>2</c:v>
                </c:pt>
                <c:pt idx="4">
                  <c:v>2</c:v>
                </c:pt>
                <c:pt idx="5">
                  <c:v>2</c:v>
                </c:pt>
                <c:pt idx="6">
                  <c:v>5</c:v>
                </c:pt>
                <c:pt idx="7">
                  <c:v>10</c:v>
                </c:pt>
                <c:pt idx="8">
                  <c:v>13</c:v>
                </c:pt>
                <c:pt idx="9">
                  <c:v>13</c:v>
                </c:pt>
                <c:pt idx="10">
                  <c:v>15</c:v>
                </c:pt>
                <c:pt idx="11">
                  <c:v>18</c:v>
                </c:pt>
                <c:pt idx="12">
                  <c:v>28</c:v>
                </c:pt>
                <c:pt idx="13">
                  <c:v>30</c:v>
                </c:pt>
                <c:pt idx="14">
                  <c:v>38</c:v>
                </c:pt>
                <c:pt idx="15">
                  <c:v>47</c:v>
                </c:pt>
                <c:pt idx="16">
                  <c:v>49</c:v>
                </c:pt>
                <c:pt idx="17">
                  <c:v>54</c:v>
                </c:pt>
                <c:pt idx="18">
                  <c:v>97</c:v>
                </c:pt>
              </c:numCache>
            </c:numRef>
          </c:val>
          <c:extLst>
            <c:ext xmlns:c16="http://schemas.microsoft.com/office/drawing/2014/chart" uri="{C3380CC4-5D6E-409C-BE32-E72D297353CC}">
              <c16:uniqueId val="{00000000-D398-42FD-A225-211502F10C81}"/>
            </c:ext>
          </c:extLst>
        </c:ser>
        <c:dLbls>
          <c:showLegendKey val="0"/>
          <c:showVal val="0"/>
          <c:showCatName val="0"/>
          <c:showSerName val="0"/>
          <c:showPercent val="0"/>
          <c:showBubbleSize val="0"/>
        </c:dLbls>
        <c:gapWidth val="182"/>
        <c:axId val="154768416"/>
        <c:axId val="1965872336"/>
      </c:barChart>
      <c:catAx>
        <c:axId val="15476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65872336"/>
        <c:crosses val="autoZero"/>
        <c:auto val="1"/>
        <c:lblAlgn val="ctr"/>
        <c:lblOffset val="100"/>
        <c:tickLblSkip val="1"/>
        <c:noMultiLvlLbl val="0"/>
      </c:catAx>
      <c:valAx>
        <c:axId val="1965872336"/>
        <c:scaling>
          <c:orientation val="minMax"/>
          <c:max val="100"/>
        </c:scaling>
        <c:delete val="1"/>
        <c:axPos val="b"/>
        <c:numFmt formatCode="General" sourceLinked="1"/>
        <c:majorTickMark val="none"/>
        <c:minorTickMark val="none"/>
        <c:tickLblPos val="nextTo"/>
        <c:crossAx val="154768416"/>
        <c:crossesAt val="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C86659-F3CD-4753-946D-4FF0384ED53E}" type="doc">
      <dgm:prSet loTypeId="urn:microsoft.com/office/officeart/2005/8/layout/process3" loCatId="process" qsTypeId="urn:microsoft.com/office/officeart/2005/8/quickstyle/simple1" qsCatId="simple" csTypeId="urn:microsoft.com/office/officeart/2005/8/colors/colorful3" csCatId="colorful" phldr="1"/>
      <dgm:spPr/>
      <dgm:t>
        <a:bodyPr/>
        <a:lstStyle/>
        <a:p>
          <a:endParaRPr lang="en-US"/>
        </a:p>
      </dgm:t>
    </dgm:pt>
    <dgm:pt modelId="{DC7025C4-8B96-47C5-A73D-B3C0C58035FC}">
      <dgm:prSet phldrT="[Text]" custT="1"/>
      <dgm:spPr/>
      <dgm:t>
        <a:bodyPr/>
        <a:lstStyle/>
        <a:p>
          <a:pPr algn="ctr"/>
          <a:r>
            <a:rPr lang="en-US" sz="1400" b="1" dirty="0"/>
            <a:t>Global trends</a:t>
          </a:r>
        </a:p>
      </dgm:t>
    </dgm:pt>
    <dgm:pt modelId="{E3DB8CBB-9200-47B9-9561-64774987771D}" type="parTrans" cxnId="{B8D15CAB-F114-46F3-BE7A-4DB47B39FE7B}">
      <dgm:prSet/>
      <dgm:spPr/>
      <dgm:t>
        <a:bodyPr/>
        <a:lstStyle/>
        <a:p>
          <a:pPr algn="ctr"/>
          <a:endParaRPr lang="en-US"/>
        </a:p>
      </dgm:t>
    </dgm:pt>
    <dgm:pt modelId="{36449EC3-B239-4DC7-BF28-29C72E2FB715}" type="sibTrans" cxnId="{B8D15CAB-F114-46F3-BE7A-4DB47B39FE7B}">
      <dgm:prSet/>
      <dgm:spPr/>
      <dgm:t>
        <a:bodyPr/>
        <a:lstStyle/>
        <a:p>
          <a:pPr algn="ctr"/>
          <a:endParaRPr lang="en-US"/>
        </a:p>
      </dgm:t>
    </dgm:pt>
    <dgm:pt modelId="{9BE0E60C-291C-4174-A7C6-69B693F9554F}">
      <dgm:prSet phldrT="[Text]" custT="1"/>
      <dgm:spPr/>
      <dgm:t>
        <a:bodyPr/>
        <a:lstStyle/>
        <a:p>
          <a:pPr algn="ctr"/>
          <a:r>
            <a:rPr lang="en-US" sz="1200" b="1" dirty="0"/>
            <a:t>Changes in regulatory policy</a:t>
          </a:r>
        </a:p>
      </dgm:t>
    </dgm:pt>
    <dgm:pt modelId="{FCA6A727-3CB4-451A-9C7C-BC8A3C05338A}" type="parTrans" cxnId="{8498D75F-D5E9-4F53-9483-3549EE76EB54}">
      <dgm:prSet/>
      <dgm:spPr/>
      <dgm:t>
        <a:bodyPr/>
        <a:lstStyle/>
        <a:p>
          <a:pPr algn="ctr"/>
          <a:endParaRPr lang="en-US"/>
        </a:p>
      </dgm:t>
    </dgm:pt>
    <dgm:pt modelId="{3857BFDF-A573-4EBC-A401-C192EE3BC0B9}" type="sibTrans" cxnId="{8498D75F-D5E9-4F53-9483-3549EE76EB54}">
      <dgm:prSet/>
      <dgm:spPr/>
      <dgm:t>
        <a:bodyPr/>
        <a:lstStyle/>
        <a:p>
          <a:pPr algn="ctr"/>
          <a:endParaRPr lang="en-US"/>
        </a:p>
      </dgm:t>
    </dgm:pt>
    <dgm:pt modelId="{CB66ECD8-90DE-48F1-96EA-3C86C2F0A389}">
      <dgm:prSet phldrT="[Text]" custT="1"/>
      <dgm:spPr/>
      <dgm:t>
        <a:bodyPr/>
        <a:lstStyle/>
        <a:p>
          <a:pPr algn="l"/>
          <a:r>
            <a:rPr lang="en-US" sz="1000" dirty="0"/>
            <a:t>More agile and coordinated approaches to regulation </a:t>
          </a:r>
        </a:p>
      </dgm:t>
    </dgm:pt>
    <dgm:pt modelId="{EF13ABBD-C79C-4369-B906-CF9B996BCCD3}" type="parTrans" cxnId="{91D1D9DC-13B4-4CEB-A25B-EBF27720FB77}">
      <dgm:prSet/>
      <dgm:spPr/>
      <dgm:t>
        <a:bodyPr/>
        <a:lstStyle/>
        <a:p>
          <a:pPr algn="ctr"/>
          <a:endParaRPr lang="en-US"/>
        </a:p>
      </dgm:t>
    </dgm:pt>
    <dgm:pt modelId="{E7038558-BD06-4824-B5D5-30B53CE43A75}" type="sibTrans" cxnId="{91D1D9DC-13B4-4CEB-A25B-EBF27720FB77}">
      <dgm:prSet/>
      <dgm:spPr/>
      <dgm:t>
        <a:bodyPr/>
        <a:lstStyle/>
        <a:p>
          <a:pPr algn="ctr"/>
          <a:endParaRPr lang="en-US"/>
        </a:p>
      </dgm:t>
    </dgm:pt>
    <dgm:pt modelId="{93F4D952-F33A-4EDD-B297-7F9206038E6E}">
      <dgm:prSet phldrT="[Text]" custT="1"/>
      <dgm:spPr/>
      <dgm:t>
        <a:bodyPr/>
        <a:lstStyle/>
        <a:p>
          <a:pPr algn="l"/>
          <a:r>
            <a:rPr lang="en-US" sz="1000" dirty="0"/>
            <a:t>Global crisis (e.g. COVID-19)</a:t>
          </a:r>
        </a:p>
      </dgm:t>
    </dgm:pt>
    <dgm:pt modelId="{F7AD6505-E95C-4CFB-AC63-AFBA604CEE86}" type="parTrans" cxnId="{AD8CD046-F8DF-4717-9DFD-03E0D12929E8}">
      <dgm:prSet/>
      <dgm:spPr/>
      <dgm:t>
        <a:bodyPr/>
        <a:lstStyle/>
        <a:p>
          <a:pPr algn="ctr"/>
          <a:endParaRPr lang="en-US"/>
        </a:p>
      </dgm:t>
    </dgm:pt>
    <dgm:pt modelId="{5CA7B14E-AAAB-4446-A3AC-9DF9D0CC99D0}" type="sibTrans" cxnId="{AD8CD046-F8DF-4717-9DFD-03E0D12929E8}">
      <dgm:prSet/>
      <dgm:spPr/>
      <dgm:t>
        <a:bodyPr/>
        <a:lstStyle/>
        <a:p>
          <a:pPr algn="ctr"/>
          <a:endParaRPr lang="en-US"/>
        </a:p>
      </dgm:t>
    </dgm:pt>
    <dgm:pt modelId="{558D526B-F8E0-4134-B128-F1826EDFC215}">
      <dgm:prSet phldrT="[Text]" custT="1"/>
      <dgm:spPr/>
      <dgm:t>
        <a:bodyPr/>
        <a:lstStyle/>
        <a:p>
          <a:pPr algn="l"/>
          <a:r>
            <a:rPr lang="en-US" sz="1000" dirty="0"/>
            <a:t>Fast technological change: AI, big data, new digitally-enabled business models</a:t>
          </a:r>
        </a:p>
      </dgm:t>
    </dgm:pt>
    <dgm:pt modelId="{EF67A022-62C3-4555-A6C6-7B9307DD2B3A}" type="parTrans" cxnId="{DE07193B-C3D2-4A2A-900A-3651FBEC0964}">
      <dgm:prSet/>
      <dgm:spPr/>
      <dgm:t>
        <a:bodyPr/>
        <a:lstStyle/>
        <a:p>
          <a:pPr algn="ctr"/>
          <a:endParaRPr lang="en-US"/>
        </a:p>
      </dgm:t>
    </dgm:pt>
    <dgm:pt modelId="{6260B5FD-9059-4A52-BC71-826B2C5EBEE3}" type="sibTrans" cxnId="{DE07193B-C3D2-4A2A-900A-3651FBEC0964}">
      <dgm:prSet/>
      <dgm:spPr/>
      <dgm:t>
        <a:bodyPr/>
        <a:lstStyle/>
        <a:p>
          <a:pPr algn="ctr"/>
          <a:endParaRPr lang="en-US"/>
        </a:p>
      </dgm:t>
    </dgm:pt>
    <dgm:pt modelId="{AFA53F7F-CCCD-431F-9B89-0DE52D27CE0D}">
      <dgm:prSet phldrT="[Text]" custT="1"/>
      <dgm:spPr/>
      <dgm:t>
        <a:bodyPr/>
        <a:lstStyle/>
        <a:p>
          <a:pPr algn="l"/>
          <a:r>
            <a:rPr lang="en-US" sz="1000" dirty="0"/>
            <a:t>Climate change </a:t>
          </a:r>
        </a:p>
      </dgm:t>
    </dgm:pt>
    <dgm:pt modelId="{A8CCB3F8-E13C-49AD-BF4E-580740B62585}" type="parTrans" cxnId="{92C62B34-76C8-4250-A507-54F750060EBB}">
      <dgm:prSet/>
      <dgm:spPr/>
      <dgm:t>
        <a:bodyPr/>
        <a:lstStyle/>
        <a:p>
          <a:pPr algn="ctr"/>
          <a:endParaRPr lang="en-US"/>
        </a:p>
      </dgm:t>
    </dgm:pt>
    <dgm:pt modelId="{3E2B5892-B791-41A0-AF5F-17D3C72A7F47}" type="sibTrans" cxnId="{92C62B34-76C8-4250-A507-54F750060EBB}">
      <dgm:prSet/>
      <dgm:spPr/>
      <dgm:t>
        <a:bodyPr/>
        <a:lstStyle/>
        <a:p>
          <a:pPr algn="ctr"/>
          <a:endParaRPr lang="en-US"/>
        </a:p>
      </dgm:t>
    </dgm:pt>
    <dgm:pt modelId="{87302BD9-B2BC-4E05-B5D0-A5126F0CC6E0}">
      <dgm:prSet phldrT="[Text]" custT="1"/>
      <dgm:spPr/>
      <dgm:t>
        <a:bodyPr/>
        <a:lstStyle/>
        <a:p>
          <a:pPr algn="l"/>
          <a:r>
            <a:rPr lang="en-US" sz="1000" dirty="0"/>
            <a:t>Changing investment and trade patterns driven by geopolitical shifts</a:t>
          </a:r>
        </a:p>
      </dgm:t>
    </dgm:pt>
    <dgm:pt modelId="{5CB37E29-ADC0-446D-8C90-0C41CDF66C71}" type="parTrans" cxnId="{732F6ABD-0B9D-420A-8DB8-A8541DBA751E}">
      <dgm:prSet/>
      <dgm:spPr/>
      <dgm:t>
        <a:bodyPr/>
        <a:lstStyle/>
        <a:p>
          <a:pPr algn="ctr"/>
          <a:endParaRPr lang="en-US"/>
        </a:p>
      </dgm:t>
    </dgm:pt>
    <dgm:pt modelId="{1C0DA65F-2A62-4E0F-9118-8FE16C280B63}" type="sibTrans" cxnId="{732F6ABD-0B9D-420A-8DB8-A8541DBA751E}">
      <dgm:prSet/>
      <dgm:spPr/>
      <dgm:t>
        <a:bodyPr/>
        <a:lstStyle/>
        <a:p>
          <a:pPr algn="ctr"/>
          <a:endParaRPr lang="en-US"/>
        </a:p>
      </dgm:t>
    </dgm:pt>
    <dgm:pt modelId="{96551F6B-40D3-4E04-AE09-37FF729212E7}">
      <dgm:prSet phldrT="[Text]" custT="1"/>
      <dgm:spPr/>
      <dgm:t>
        <a:bodyPr/>
        <a:lstStyle/>
        <a:p>
          <a:pPr algn="l"/>
          <a:r>
            <a:rPr lang="en-US" sz="1000" dirty="0"/>
            <a:t>Need for innovation (especially green) for productivity growth and competitiveness</a:t>
          </a:r>
        </a:p>
      </dgm:t>
    </dgm:pt>
    <dgm:pt modelId="{7AB0B652-AB56-4B41-9E2C-0F47551C055D}" type="parTrans" cxnId="{DE04CF5B-4B12-4E27-A7F1-38CBC2BB0F51}">
      <dgm:prSet/>
      <dgm:spPr/>
      <dgm:t>
        <a:bodyPr/>
        <a:lstStyle/>
        <a:p>
          <a:pPr algn="ctr"/>
          <a:endParaRPr lang="en-US"/>
        </a:p>
      </dgm:t>
    </dgm:pt>
    <dgm:pt modelId="{8EF6B29D-4E68-474F-B1F9-BBD8E3EE1F19}" type="sibTrans" cxnId="{DE04CF5B-4B12-4E27-A7F1-38CBC2BB0F51}">
      <dgm:prSet/>
      <dgm:spPr/>
      <dgm:t>
        <a:bodyPr/>
        <a:lstStyle/>
        <a:p>
          <a:pPr algn="ctr"/>
          <a:endParaRPr lang="en-US"/>
        </a:p>
      </dgm:t>
    </dgm:pt>
    <dgm:pt modelId="{F438DD09-B529-4FD2-A6F3-CDDE2A9AA70F}">
      <dgm:prSet phldrT="[Text]" custT="1"/>
      <dgm:spPr/>
      <dgm:t>
        <a:bodyPr/>
        <a:lstStyle/>
        <a:p>
          <a:pPr algn="l"/>
          <a:r>
            <a:rPr lang="en-US" sz="1000" dirty="0"/>
            <a:t>Risk-based approaches to licensing and inspections</a:t>
          </a:r>
        </a:p>
      </dgm:t>
    </dgm:pt>
    <dgm:pt modelId="{D2FDA73D-6AA0-46DD-B69F-FE099EACE28B}" type="parTrans" cxnId="{9308652B-8884-4E44-ABF3-ABDCB2AAE780}">
      <dgm:prSet/>
      <dgm:spPr/>
      <dgm:t>
        <a:bodyPr/>
        <a:lstStyle/>
        <a:p>
          <a:pPr algn="ctr"/>
          <a:endParaRPr lang="en-US"/>
        </a:p>
      </dgm:t>
    </dgm:pt>
    <dgm:pt modelId="{EAA07FED-5CF3-424D-827D-ECEE828A1B86}" type="sibTrans" cxnId="{9308652B-8884-4E44-ABF3-ABDCB2AAE780}">
      <dgm:prSet/>
      <dgm:spPr/>
      <dgm:t>
        <a:bodyPr/>
        <a:lstStyle/>
        <a:p>
          <a:pPr algn="ctr"/>
          <a:endParaRPr lang="en-US"/>
        </a:p>
      </dgm:t>
    </dgm:pt>
    <dgm:pt modelId="{1D0D877C-9070-4FBB-AC77-B3615A5A5A9D}">
      <dgm:prSet phldrT="[Text]" custT="1"/>
      <dgm:spPr/>
      <dgm:t>
        <a:bodyPr/>
        <a:lstStyle/>
        <a:p>
          <a:pPr algn="l"/>
          <a:r>
            <a:rPr lang="en-US" sz="1000" dirty="0"/>
            <a:t>User-centric approaches and integrated digital services to minimize information requirements</a:t>
          </a:r>
        </a:p>
      </dgm:t>
    </dgm:pt>
    <dgm:pt modelId="{0F4B30A4-A501-4965-909B-7C76063A6FAB}" type="parTrans" cxnId="{3A9684CE-D2F9-4AF9-9FD3-7442B843711D}">
      <dgm:prSet/>
      <dgm:spPr/>
      <dgm:t>
        <a:bodyPr/>
        <a:lstStyle/>
        <a:p>
          <a:pPr algn="ctr"/>
          <a:endParaRPr lang="en-US"/>
        </a:p>
      </dgm:t>
    </dgm:pt>
    <dgm:pt modelId="{807F8F7F-F77E-4567-9B39-3FA4976E0D68}" type="sibTrans" cxnId="{3A9684CE-D2F9-4AF9-9FD3-7442B843711D}">
      <dgm:prSet/>
      <dgm:spPr/>
      <dgm:t>
        <a:bodyPr/>
        <a:lstStyle/>
        <a:p>
          <a:pPr algn="ctr"/>
          <a:endParaRPr lang="en-US"/>
        </a:p>
      </dgm:t>
    </dgm:pt>
    <dgm:pt modelId="{DD2C483D-CF39-424D-BB0A-8DA22B520333}">
      <dgm:prSet phldrT="[Text]" custT="1"/>
      <dgm:spPr/>
      <dgm:t>
        <a:bodyPr/>
        <a:lstStyle/>
        <a:p>
          <a:pPr algn="l"/>
          <a:r>
            <a:rPr lang="en-US" sz="1000" dirty="0"/>
            <a:t>Constant learning and adapting to changing context</a:t>
          </a:r>
        </a:p>
      </dgm:t>
    </dgm:pt>
    <dgm:pt modelId="{05947C7A-8A68-4C18-890E-27A8CEC7B269}" type="parTrans" cxnId="{373777FB-2B8F-4287-9C12-2453D1A0D88E}">
      <dgm:prSet/>
      <dgm:spPr/>
      <dgm:t>
        <a:bodyPr/>
        <a:lstStyle/>
        <a:p>
          <a:pPr algn="ctr"/>
          <a:endParaRPr lang="en-US"/>
        </a:p>
      </dgm:t>
    </dgm:pt>
    <dgm:pt modelId="{E00FC967-B84C-4DF5-85EF-6BEE1B0A79D2}" type="sibTrans" cxnId="{373777FB-2B8F-4287-9C12-2453D1A0D88E}">
      <dgm:prSet/>
      <dgm:spPr/>
      <dgm:t>
        <a:bodyPr/>
        <a:lstStyle/>
        <a:p>
          <a:pPr algn="ctr"/>
          <a:endParaRPr lang="en-US"/>
        </a:p>
      </dgm:t>
    </dgm:pt>
    <dgm:pt modelId="{E094B2AE-6B9C-4DD0-AFEA-645D3E670922}">
      <dgm:prSet phldrT="[Text]" custT="1"/>
      <dgm:spPr/>
      <dgm:t>
        <a:bodyPr/>
        <a:lstStyle/>
        <a:p>
          <a:pPr algn="l"/>
          <a:r>
            <a:rPr lang="en-US" sz="1000" dirty="0"/>
            <a:t>Greater use of data to monitor compliance</a:t>
          </a:r>
        </a:p>
      </dgm:t>
    </dgm:pt>
    <dgm:pt modelId="{154543B0-74D7-4801-A3B8-8282645F1664}" type="parTrans" cxnId="{4E23D1EF-9FCE-4A74-9AC0-20ABABD83926}">
      <dgm:prSet/>
      <dgm:spPr/>
      <dgm:t>
        <a:bodyPr/>
        <a:lstStyle/>
        <a:p>
          <a:pPr algn="ctr"/>
          <a:endParaRPr lang="en-US"/>
        </a:p>
      </dgm:t>
    </dgm:pt>
    <dgm:pt modelId="{82100A90-9FF1-4006-8CCF-39385F647083}" type="sibTrans" cxnId="{4E23D1EF-9FCE-4A74-9AC0-20ABABD83926}">
      <dgm:prSet/>
      <dgm:spPr/>
      <dgm:t>
        <a:bodyPr/>
        <a:lstStyle/>
        <a:p>
          <a:pPr algn="ctr"/>
          <a:endParaRPr lang="en-US"/>
        </a:p>
      </dgm:t>
    </dgm:pt>
    <dgm:pt modelId="{6B49985F-50FE-473F-80A8-A8F21648367A}">
      <dgm:prSet phldrT="[Text]" custT="1"/>
      <dgm:spPr/>
      <dgm:t>
        <a:bodyPr/>
        <a:lstStyle/>
        <a:p>
          <a:pPr algn="l"/>
          <a:r>
            <a:rPr lang="en-US" sz="1000" dirty="0"/>
            <a:t>Goals-based regulation and less use of prescriptive requirements</a:t>
          </a:r>
        </a:p>
      </dgm:t>
    </dgm:pt>
    <dgm:pt modelId="{2F375D0C-9837-443A-AA94-B73583CEB548}" type="parTrans" cxnId="{24FCE27E-24E9-444C-8AE3-C8D4F43CD0D9}">
      <dgm:prSet/>
      <dgm:spPr/>
      <dgm:t>
        <a:bodyPr/>
        <a:lstStyle/>
        <a:p>
          <a:endParaRPr lang="en-US"/>
        </a:p>
      </dgm:t>
    </dgm:pt>
    <dgm:pt modelId="{BCC56976-956A-45D5-A13D-0BB35BBE4C7D}" type="sibTrans" cxnId="{24FCE27E-24E9-444C-8AE3-C8D4F43CD0D9}">
      <dgm:prSet/>
      <dgm:spPr/>
      <dgm:t>
        <a:bodyPr/>
        <a:lstStyle/>
        <a:p>
          <a:endParaRPr lang="en-US"/>
        </a:p>
      </dgm:t>
    </dgm:pt>
    <dgm:pt modelId="{9812C156-8D0D-4EAB-A95D-20CB8B690A9B}">
      <dgm:prSet phldrT="[Text]" custT="1"/>
      <dgm:spPr/>
      <dgm:t>
        <a:bodyPr/>
        <a:lstStyle/>
        <a:p>
          <a:pPr algn="l"/>
          <a:r>
            <a:rPr lang="en-US" sz="1000" dirty="0"/>
            <a:t>International collaboration (OECD, ASEAN)</a:t>
          </a:r>
        </a:p>
      </dgm:t>
    </dgm:pt>
    <dgm:pt modelId="{90C27D8A-F895-4B0E-A3B4-45FFE1CF31E5}" type="parTrans" cxnId="{1098C729-C729-4501-AB31-1DCB626AC5AD}">
      <dgm:prSet/>
      <dgm:spPr/>
      <dgm:t>
        <a:bodyPr/>
        <a:lstStyle/>
        <a:p>
          <a:endParaRPr lang="en-US"/>
        </a:p>
      </dgm:t>
    </dgm:pt>
    <dgm:pt modelId="{9B7F704E-AB57-427E-A6A7-C92462C96F83}" type="sibTrans" cxnId="{1098C729-C729-4501-AB31-1DCB626AC5AD}">
      <dgm:prSet/>
      <dgm:spPr/>
      <dgm:t>
        <a:bodyPr/>
        <a:lstStyle/>
        <a:p>
          <a:endParaRPr lang="en-US"/>
        </a:p>
      </dgm:t>
    </dgm:pt>
    <dgm:pt modelId="{9370AF72-8411-460E-B8BF-3AC5A3DC1DD2}" type="pres">
      <dgm:prSet presAssocID="{64C86659-F3CD-4753-946D-4FF0384ED53E}" presName="linearFlow" presStyleCnt="0">
        <dgm:presLayoutVars>
          <dgm:dir/>
          <dgm:animLvl val="lvl"/>
          <dgm:resizeHandles val="exact"/>
        </dgm:presLayoutVars>
      </dgm:prSet>
      <dgm:spPr/>
    </dgm:pt>
    <dgm:pt modelId="{673B5FF0-5978-4389-9667-28497209689A}" type="pres">
      <dgm:prSet presAssocID="{DC7025C4-8B96-47C5-A73D-B3C0C58035FC}" presName="composite" presStyleCnt="0"/>
      <dgm:spPr/>
    </dgm:pt>
    <dgm:pt modelId="{B29A04D9-590E-44F8-BF9B-786C194E6969}" type="pres">
      <dgm:prSet presAssocID="{DC7025C4-8B96-47C5-A73D-B3C0C58035FC}" presName="parTx" presStyleLbl="node1" presStyleIdx="0" presStyleCnt="2">
        <dgm:presLayoutVars>
          <dgm:chMax val="0"/>
          <dgm:chPref val="0"/>
          <dgm:bulletEnabled val="1"/>
        </dgm:presLayoutVars>
      </dgm:prSet>
      <dgm:spPr/>
    </dgm:pt>
    <dgm:pt modelId="{1A9267CD-A9F5-45CB-9756-E2A4FD562F16}" type="pres">
      <dgm:prSet presAssocID="{DC7025C4-8B96-47C5-A73D-B3C0C58035FC}" presName="parSh" presStyleLbl="node1" presStyleIdx="0" presStyleCnt="2" custScaleX="150075"/>
      <dgm:spPr/>
    </dgm:pt>
    <dgm:pt modelId="{7F61531D-A8D7-4979-A08C-D3D1ABE159A3}" type="pres">
      <dgm:prSet presAssocID="{DC7025C4-8B96-47C5-A73D-B3C0C58035FC}" presName="desTx" presStyleLbl="fgAcc1" presStyleIdx="0" presStyleCnt="2" custScaleX="159985" custLinFactNeighborX="-8305" custLinFactNeighborY="3747">
        <dgm:presLayoutVars>
          <dgm:bulletEnabled val="1"/>
        </dgm:presLayoutVars>
      </dgm:prSet>
      <dgm:spPr/>
    </dgm:pt>
    <dgm:pt modelId="{FDAC12F0-C8D2-4218-9861-E40F3375EC0C}" type="pres">
      <dgm:prSet presAssocID="{36449EC3-B239-4DC7-BF28-29C72E2FB715}" presName="sibTrans" presStyleLbl="sibTrans2D1" presStyleIdx="0" presStyleCnt="1" custLinFactNeighborX="28680" custLinFactNeighborY="-8914"/>
      <dgm:spPr/>
    </dgm:pt>
    <dgm:pt modelId="{92FDEBC6-DB5D-4C7F-B480-DBC8C49F7FF7}" type="pres">
      <dgm:prSet presAssocID="{36449EC3-B239-4DC7-BF28-29C72E2FB715}" presName="connTx" presStyleLbl="sibTrans2D1" presStyleIdx="0" presStyleCnt="1"/>
      <dgm:spPr/>
    </dgm:pt>
    <dgm:pt modelId="{512BB18D-6708-40D5-80BF-9D35402C39B2}" type="pres">
      <dgm:prSet presAssocID="{9BE0E60C-291C-4174-A7C6-69B693F9554F}" presName="composite" presStyleCnt="0"/>
      <dgm:spPr/>
    </dgm:pt>
    <dgm:pt modelId="{B5AA8D36-461B-4C64-A1F0-BBE6B741C033}" type="pres">
      <dgm:prSet presAssocID="{9BE0E60C-291C-4174-A7C6-69B693F9554F}" presName="parTx" presStyleLbl="node1" presStyleIdx="0" presStyleCnt="2">
        <dgm:presLayoutVars>
          <dgm:chMax val="0"/>
          <dgm:chPref val="0"/>
          <dgm:bulletEnabled val="1"/>
        </dgm:presLayoutVars>
      </dgm:prSet>
      <dgm:spPr/>
    </dgm:pt>
    <dgm:pt modelId="{C5230ED4-69A4-44E4-85B6-FB47AEFF5746}" type="pres">
      <dgm:prSet presAssocID="{9BE0E60C-291C-4174-A7C6-69B693F9554F}" presName="parSh" presStyleLbl="node1" presStyleIdx="1" presStyleCnt="2" custScaleX="189955" custLinFactNeighborX="14585" custLinFactNeighborY="-3119"/>
      <dgm:spPr/>
    </dgm:pt>
    <dgm:pt modelId="{432C737A-4479-42B2-9F87-321E6A004D30}" type="pres">
      <dgm:prSet presAssocID="{9BE0E60C-291C-4174-A7C6-69B693F9554F}" presName="desTx" presStyleLbl="fgAcc1" presStyleIdx="1" presStyleCnt="2" custScaleX="182288" custScaleY="98689" custLinFactNeighborX="390" custLinFactNeighborY="-1788">
        <dgm:presLayoutVars>
          <dgm:bulletEnabled val="1"/>
        </dgm:presLayoutVars>
      </dgm:prSet>
      <dgm:spPr/>
    </dgm:pt>
  </dgm:ptLst>
  <dgm:cxnLst>
    <dgm:cxn modelId="{9EB0ED08-D235-4220-AEF7-C98E323FD2BD}" type="presOf" srcId="{96551F6B-40D3-4E04-AE09-37FF729212E7}" destId="{7F61531D-A8D7-4979-A08C-D3D1ABE159A3}" srcOrd="0" destOrd="4" presId="urn:microsoft.com/office/officeart/2005/8/layout/process3"/>
    <dgm:cxn modelId="{01E4E826-1E24-4A0D-86B5-555D11ACD5EB}" type="presOf" srcId="{AFA53F7F-CCCD-431F-9B89-0DE52D27CE0D}" destId="{7F61531D-A8D7-4979-A08C-D3D1ABE159A3}" srcOrd="0" destOrd="2" presId="urn:microsoft.com/office/officeart/2005/8/layout/process3"/>
    <dgm:cxn modelId="{1098C729-C729-4501-AB31-1DCB626AC5AD}" srcId="{9BE0E60C-291C-4174-A7C6-69B693F9554F}" destId="{9812C156-8D0D-4EAB-A95D-20CB8B690A9B}" srcOrd="6" destOrd="0" parTransId="{90C27D8A-F895-4B0E-A3B4-45FFE1CF31E5}" sibTransId="{9B7F704E-AB57-427E-A6A7-C92462C96F83}"/>
    <dgm:cxn modelId="{9308652B-8884-4E44-ABF3-ABDCB2AAE780}" srcId="{9BE0E60C-291C-4174-A7C6-69B693F9554F}" destId="{F438DD09-B529-4FD2-A6F3-CDDE2A9AA70F}" srcOrd="1" destOrd="0" parTransId="{D2FDA73D-6AA0-46DD-B69F-FE099EACE28B}" sibTransId="{EAA07FED-5CF3-424D-827D-ECEE828A1B86}"/>
    <dgm:cxn modelId="{09F70730-5EB0-403A-B308-588D6C4C2B2E}" type="presOf" srcId="{9BE0E60C-291C-4174-A7C6-69B693F9554F}" destId="{B5AA8D36-461B-4C64-A1F0-BBE6B741C033}" srcOrd="0" destOrd="0" presId="urn:microsoft.com/office/officeart/2005/8/layout/process3"/>
    <dgm:cxn modelId="{92C62B34-76C8-4250-A507-54F750060EBB}" srcId="{DC7025C4-8B96-47C5-A73D-B3C0C58035FC}" destId="{AFA53F7F-CCCD-431F-9B89-0DE52D27CE0D}" srcOrd="2" destOrd="0" parTransId="{A8CCB3F8-E13C-49AD-BF4E-580740B62585}" sibTransId="{3E2B5892-B791-41A0-AF5F-17D3C72A7F47}"/>
    <dgm:cxn modelId="{325FF93A-24B3-4BEE-B69C-AF4D1A89CC1C}" type="presOf" srcId="{9BE0E60C-291C-4174-A7C6-69B693F9554F}" destId="{C5230ED4-69A4-44E4-85B6-FB47AEFF5746}" srcOrd="1" destOrd="0" presId="urn:microsoft.com/office/officeart/2005/8/layout/process3"/>
    <dgm:cxn modelId="{DE07193B-C3D2-4A2A-900A-3651FBEC0964}" srcId="{DC7025C4-8B96-47C5-A73D-B3C0C58035FC}" destId="{558D526B-F8E0-4134-B128-F1826EDFC215}" srcOrd="1" destOrd="0" parTransId="{EF67A022-62C3-4555-A6C6-7B9307DD2B3A}" sibTransId="{6260B5FD-9059-4A52-BC71-826B2C5EBEE3}"/>
    <dgm:cxn modelId="{27CEF63C-2C44-4CD2-993E-8ECB102B4AE2}" type="presOf" srcId="{1D0D877C-9070-4FBB-AC77-B3615A5A5A9D}" destId="{432C737A-4479-42B2-9F87-321E6A004D30}" srcOrd="0" destOrd="3" presId="urn:microsoft.com/office/officeart/2005/8/layout/process3"/>
    <dgm:cxn modelId="{0A639A40-D836-4ECA-9C89-6D442B8898B3}" type="presOf" srcId="{64C86659-F3CD-4753-946D-4FF0384ED53E}" destId="{9370AF72-8411-460E-B8BF-3AC5A3DC1DD2}" srcOrd="0" destOrd="0" presId="urn:microsoft.com/office/officeart/2005/8/layout/process3"/>
    <dgm:cxn modelId="{DE04CF5B-4B12-4E27-A7F1-38CBC2BB0F51}" srcId="{DC7025C4-8B96-47C5-A73D-B3C0C58035FC}" destId="{96551F6B-40D3-4E04-AE09-37FF729212E7}" srcOrd="4" destOrd="0" parTransId="{7AB0B652-AB56-4B41-9E2C-0F47551C055D}" sibTransId="{8EF6B29D-4E68-474F-B1F9-BBD8E3EE1F19}"/>
    <dgm:cxn modelId="{8498D75F-D5E9-4F53-9483-3549EE76EB54}" srcId="{64C86659-F3CD-4753-946D-4FF0384ED53E}" destId="{9BE0E60C-291C-4174-A7C6-69B693F9554F}" srcOrd="1" destOrd="0" parTransId="{FCA6A727-3CB4-451A-9C7C-BC8A3C05338A}" sibTransId="{3857BFDF-A573-4EBC-A401-C192EE3BC0B9}"/>
    <dgm:cxn modelId="{09718160-D3D0-4120-9C46-BAC37B788D2E}" type="presOf" srcId="{DC7025C4-8B96-47C5-A73D-B3C0C58035FC}" destId="{1A9267CD-A9F5-45CB-9756-E2A4FD562F16}" srcOrd="1" destOrd="0" presId="urn:microsoft.com/office/officeart/2005/8/layout/process3"/>
    <dgm:cxn modelId="{DA48FB63-A990-4AAC-92A1-D04DD8C3E023}" type="presOf" srcId="{9812C156-8D0D-4EAB-A95D-20CB8B690A9B}" destId="{432C737A-4479-42B2-9F87-321E6A004D30}" srcOrd="0" destOrd="6" presId="urn:microsoft.com/office/officeart/2005/8/layout/process3"/>
    <dgm:cxn modelId="{AD8CD046-F8DF-4717-9DFD-03E0D12929E8}" srcId="{DC7025C4-8B96-47C5-A73D-B3C0C58035FC}" destId="{93F4D952-F33A-4EDD-B297-7F9206038E6E}" srcOrd="0" destOrd="0" parTransId="{F7AD6505-E95C-4CFB-AC63-AFBA604CEE86}" sibTransId="{5CA7B14E-AAAB-4446-A3AC-9DF9D0CC99D0}"/>
    <dgm:cxn modelId="{7BD3BD4E-28E6-4208-A79D-8F6D0A000F9D}" type="presOf" srcId="{E094B2AE-6B9C-4DD0-AFEA-645D3E670922}" destId="{432C737A-4479-42B2-9F87-321E6A004D30}" srcOrd="0" destOrd="4" presId="urn:microsoft.com/office/officeart/2005/8/layout/process3"/>
    <dgm:cxn modelId="{019F2756-7D49-41FC-8C58-80B7AB484B8A}" type="presOf" srcId="{93F4D952-F33A-4EDD-B297-7F9206038E6E}" destId="{7F61531D-A8D7-4979-A08C-D3D1ABE159A3}" srcOrd="0" destOrd="0" presId="urn:microsoft.com/office/officeart/2005/8/layout/process3"/>
    <dgm:cxn modelId="{24FCE27E-24E9-444C-8AE3-C8D4F43CD0D9}" srcId="{9BE0E60C-291C-4174-A7C6-69B693F9554F}" destId="{6B49985F-50FE-473F-80A8-A8F21648367A}" srcOrd="2" destOrd="0" parTransId="{2F375D0C-9837-443A-AA94-B73583CEB548}" sibTransId="{BCC56976-956A-45D5-A13D-0BB35BBE4C7D}"/>
    <dgm:cxn modelId="{E9370485-ED4D-49E2-B7EE-4349BAC7549E}" type="presOf" srcId="{DC7025C4-8B96-47C5-A73D-B3C0C58035FC}" destId="{B29A04D9-590E-44F8-BF9B-786C194E6969}" srcOrd="0" destOrd="0" presId="urn:microsoft.com/office/officeart/2005/8/layout/process3"/>
    <dgm:cxn modelId="{C6238299-D4B2-4378-A05F-115E77E4D0A6}" type="presOf" srcId="{6B49985F-50FE-473F-80A8-A8F21648367A}" destId="{432C737A-4479-42B2-9F87-321E6A004D30}" srcOrd="0" destOrd="2" presId="urn:microsoft.com/office/officeart/2005/8/layout/process3"/>
    <dgm:cxn modelId="{6C904C9B-46AD-46FC-8127-A9091B6393A1}" type="presOf" srcId="{558D526B-F8E0-4134-B128-F1826EDFC215}" destId="{7F61531D-A8D7-4979-A08C-D3D1ABE159A3}" srcOrd="0" destOrd="1" presId="urn:microsoft.com/office/officeart/2005/8/layout/process3"/>
    <dgm:cxn modelId="{B8D15CAB-F114-46F3-BE7A-4DB47B39FE7B}" srcId="{64C86659-F3CD-4753-946D-4FF0384ED53E}" destId="{DC7025C4-8B96-47C5-A73D-B3C0C58035FC}" srcOrd="0" destOrd="0" parTransId="{E3DB8CBB-9200-47B9-9561-64774987771D}" sibTransId="{36449EC3-B239-4DC7-BF28-29C72E2FB715}"/>
    <dgm:cxn modelId="{730B13B9-2460-4A48-99D9-3B7B24EE4240}" type="presOf" srcId="{F438DD09-B529-4FD2-A6F3-CDDE2A9AA70F}" destId="{432C737A-4479-42B2-9F87-321E6A004D30}" srcOrd="0" destOrd="1" presId="urn:microsoft.com/office/officeart/2005/8/layout/process3"/>
    <dgm:cxn modelId="{732F6ABD-0B9D-420A-8DB8-A8541DBA751E}" srcId="{DC7025C4-8B96-47C5-A73D-B3C0C58035FC}" destId="{87302BD9-B2BC-4E05-B5D0-A5126F0CC6E0}" srcOrd="3" destOrd="0" parTransId="{5CB37E29-ADC0-446D-8C90-0C41CDF66C71}" sibTransId="{1C0DA65F-2A62-4E0F-9118-8FE16C280B63}"/>
    <dgm:cxn modelId="{3A9684CE-D2F9-4AF9-9FD3-7442B843711D}" srcId="{9BE0E60C-291C-4174-A7C6-69B693F9554F}" destId="{1D0D877C-9070-4FBB-AC77-B3615A5A5A9D}" srcOrd="3" destOrd="0" parTransId="{0F4B30A4-A501-4965-909B-7C76063A6FAB}" sibTransId="{807F8F7F-F77E-4567-9B39-3FA4976E0D68}"/>
    <dgm:cxn modelId="{CFE01ECF-3DD8-47BF-BA6E-DB586C4616CE}" type="presOf" srcId="{DD2C483D-CF39-424D-BB0A-8DA22B520333}" destId="{432C737A-4479-42B2-9F87-321E6A004D30}" srcOrd="0" destOrd="5" presId="urn:microsoft.com/office/officeart/2005/8/layout/process3"/>
    <dgm:cxn modelId="{6F7260D5-7182-4A5D-80B3-1B5AD1665A8D}" type="presOf" srcId="{36449EC3-B239-4DC7-BF28-29C72E2FB715}" destId="{92FDEBC6-DB5D-4C7F-B480-DBC8C49F7FF7}" srcOrd="1" destOrd="0" presId="urn:microsoft.com/office/officeart/2005/8/layout/process3"/>
    <dgm:cxn modelId="{91D1D9DC-13B4-4CEB-A25B-EBF27720FB77}" srcId="{9BE0E60C-291C-4174-A7C6-69B693F9554F}" destId="{CB66ECD8-90DE-48F1-96EA-3C86C2F0A389}" srcOrd="0" destOrd="0" parTransId="{EF13ABBD-C79C-4369-B906-CF9B996BCCD3}" sibTransId="{E7038558-BD06-4824-B5D5-30B53CE43A75}"/>
    <dgm:cxn modelId="{70CB9EE6-6A14-4765-BD1A-B2C22792B26B}" type="presOf" srcId="{36449EC3-B239-4DC7-BF28-29C72E2FB715}" destId="{FDAC12F0-C8D2-4218-9861-E40F3375EC0C}" srcOrd="0" destOrd="0" presId="urn:microsoft.com/office/officeart/2005/8/layout/process3"/>
    <dgm:cxn modelId="{0FDCF5EB-8FBA-446C-B08F-5E29E4445114}" type="presOf" srcId="{CB66ECD8-90DE-48F1-96EA-3C86C2F0A389}" destId="{432C737A-4479-42B2-9F87-321E6A004D30}" srcOrd="0" destOrd="0" presId="urn:microsoft.com/office/officeart/2005/8/layout/process3"/>
    <dgm:cxn modelId="{4E23D1EF-9FCE-4A74-9AC0-20ABABD83926}" srcId="{9BE0E60C-291C-4174-A7C6-69B693F9554F}" destId="{E094B2AE-6B9C-4DD0-AFEA-645D3E670922}" srcOrd="4" destOrd="0" parTransId="{154543B0-74D7-4801-A3B8-8282645F1664}" sibTransId="{82100A90-9FF1-4006-8CCF-39385F647083}"/>
    <dgm:cxn modelId="{D0B587F7-527D-4DA1-9759-5FF1783C82D1}" type="presOf" srcId="{87302BD9-B2BC-4E05-B5D0-A5126F0CC6E0}" destId="{7F61531D-A8D7-4979-A08C-D3D1ABE159A3}" srcOrd="0" destOrd="3" presId="urn:microsoft.com/office/officeart/2005/8/layout/process3"/>
    <dgm:cxn modelId="{373777FB-2B8F-4287-9C12-2453D1A0D88E}" srcId="{9BE0E60C-291C-4174-A7C6-69B693F9554F}" destId="{DD2C483D-CF39-424D-BB0A-8DA22B520333}" srcOrd="5" destOrd="0" parTransId="{05947C7A-8A68-4C18-890E-27A8CEC7B269}" sibTransId="{E00FC967-B84C-4DF5-85EF-6BEE1B0A79D2}"/>
    <dgm:cxn modelId="{C9EE9950-6503-49EA-B332-A99E60D95324}" type="presParOf" srcId="{9370AF72-8411-460E-B8BF-3AC5A3DC1DD2}" destId="{673B5FF0-5978-4389-9667-28497209689A}" srcOrd="0" destOrd="0" presId="urn:microsoft.com/office/officeart/2005/8/layout/process3"/>
    <dgm:cxn modelId="{B1190688-E654-45E0-83FB-94043B7CF679}" type="presParOf" srcId="{673B5FF0-5978-4389-9667-28497209689A}" destId="{B29A04D9-590E-44F8-BF9B-786C194E6969}" srcOrd="0" destOrd="0" presId="urn:microsoft.com/office/officeart/2005/8/layout/process3"/>
    <dgm:cxn modelId="{CB98032D-40E9-4BAD-91A2-0F792F8C1AB2}" type="presParOf" srcId="{673B5FF0-5978-4389-9667-28497209689A}" destId="{1A9267CD-A9F5-45CB-9756-E2A4FD562F16}" srcOrd="1" destOrd="0" presId="urn:microsoft.com/office/officeart/2005/8/layout/process3"/>
    <dgm:cxn modelId="{192804DD-104E-4E46-8B04-10E6186B5A00}" type="presParOf" srcId="{673B5FF0-5978-4389-9667-28497209689A}" destId="{7F61531D-A8D7-4979-A08C-D3D1ABE159A3}" srcOrd="2" destOrd="0" presId="urn:microsoft.com/office/officeart/2005/8/layout/process3"/>
    <dgm:cxn modelId="{840E230D-B6E2-4BD1-98F2-F746E1BD9C2D}" type="presParOf" srcId="{9370AF72-8411-460E-B8BF-3AC5A3DC1DD2}" destId="{FDAC12F0-C8D2-4218-9861-E40F3375EC0C}" srcOrd="1" destOrd="0" presId="urn:microsoft.com/office/officeart/2005/8/layout/process3"/>
    <dgm:cxn modelId="{161C3D16-24A2-4EF4-9554-E0EA042CE82C}" type="presParOf" srcId="{FDAC12F0-C8D2-4218-9861-E40F3375EC0C}" destId="{92FDEBC6-DB5D-4C7F-B480-DBC8C49F7FF7}" srcOrd="0" destOrd="0" presId="urn:microsoft.com/office/officeart/2005/8/layout/process3"/>
    <dgm:cxn modelId="{8A2653F4-EDFB-4775-BC1E-87CFDA7DBED2}" type="presParOf" srcId="{9370AF72-8411-460E-B8BF-3AC5A3DC1DD2}" destId="{512BB18D-6708-40D5-80BF-9D35402C39B2}" srcOrd="2" destOrd="0" presId="urn:microsoft.com/office/officeart/2005/8/layout/process3"/>
    <dgm:cxn modelId="{D01F91A2-ACC1-45C2-8700-6D9A7148FB5A}" type="presParOf" srcId="{512BB18D-6708-40D5-80BF-9D35402C39B2}" destId="{B5AA8D36-461B-4C64-A1F0-BBE6B741C033}" srcOrd="0" destOrd="0" presId="urn:microsoft.com/office/officeart/2005/8/layout/process3"/>
    <dgm:cxn modelId="{EC8B3DB5-761A-4547-A062-CC2D7A096DEA}" type="presParOf" srcId="{512BB18D-6708-40D5-80BF-9D35402C39B2}" destId="{C5230ED4-69A4-44E4-85B6-FB47AEFF5746}" srcOrd="1" destOrd="0" presId="urn:microsoft.com/office/officeart/2005/8/layout/process3"/>
    <dgm:cxn modelId="{E8614649-AD2C-4619-9094-661D3EE479B3}" type="presParOf" srcId="{512BB18D-6708-40D5-80BF-9D35402C39B2}" destId="{432C737A-4479-42B2-9F87-321E6A004D30}" srcOrd="2" destOrd="0" presId="urn:microsoft.com/office/officeart/2005/8/layout/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267CD-A9F5-45CB-9756-E2A4FD562F16}">
      <dsp:nvSpPr>
        <dsp:cNvPr id="0" name=""/>
        <dsp:cNvSpPr/>
      </dsp:nvSpPr>
      <dsp:spPr>
        <a:xfrm>
          <a:off x="3834" y="41251"/>
          <a:ext cx="1762304" cy="33831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marL="0" lvl="0" indent="0" algn="ctr" defTabSz="622300">
            <a:lnSpc>
              <a:spcPct val="90000"/>
            </a:lnSpc>
            <a:spcBef>
              <a:spcPct val="0"/>
            </a:spcBef>
            <a:spcAft>
              <a:spcPct val="35000"/>
            </a:spcAft>
            <a:buNone/>
          </a:pPr>
          <a:r>
            <a:rPr lang="en-US" sz="1400" b="1" kern="1200" dirty="0"/>
            <a:t>Global trends</a:t>
          </a:r>
        </a:p>
      </dsp:txBody>
      <dsp:txXfrm>
        <a:off x="3834" y="41251"/>
        <a:ext cx="1762304" cy="225543"/>
      </dsp:txXfrm>
    </dsp:sp>
    <dsp:sp modelId="{7F61531D-A8D7-4979-A08C-D3D1ABE159A3}">
      <dsp:nvSpPr>
        <dsp:cNvPr id="0" name=""/>
        <dsp:cNvSpPr/>
      </dsp:nvSpPr>
      <dsp:spPr>
        <a:xfrm>
          <a:off x="88639" y="308046"/>
          <a:ext cx="1878676" cy="3259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a:t>Global crisis (e.g. COVID-19)</a:t>
          </a:r>
        </a:p>
        <a:p>
          <a:pPr marL="57150" lvl="1" indent="-57150" algn="l" defTabSz="444500">
            <a:lnSpc>
              <a:spcPct val="90000"/>
            </a:lnSpc>
            <a:spcBef>
              <a:spcPct val="0"/>
            </a:spcBef>
            <a:spcAft>
              <a:spcPct val="15000"/>
            </a:spcAft>
            <a:buChar char="•"/>
          </a:pPr>
          <a:r>
            <a:rPr lang="en-US" sz="1000" kern="1200" dirty="0"/>
            <a:t>Fast technological change: AI, big data, new digitally-enabled business models</a:t>
          </a:r>
        </a:p>
        <a:p>
          <a:pPr marL="57150" lvl="1" indent="-57150" algn="l" defTabSz="444500">
            <a:lnSpc>
              <a:spcPct val="90000"/>
            </a:lnSpc>
            <a:spcBef>
              <a:spcPct val="0"/>
            </a:spcBef>
            <a:spcAft>
              <a:spcPct val="15000"/>
            </a:spcAft>
            <a:buChar char="•"/>
          </a:pPr>
          <a:r>
            <a:rPr lang="en-US" sz="1000" kern="1200" dirty="0"/>
            <a:t>Climate change </a:t>
          </a:r>
        </a:p>
        <a:p>
          <a:pPr marL="57150" lvl="1" indent="-57150" algn="l" defTabSz="444500">
            <a:lnSpc>
              <a:spcPct val="90000"/>
            </a:lnSpc>
            <a:spcBef>
              <a:spcPct val="0"/>
            </a:spcBef>
            <a:spcAft>
              <a:spcPct val="15000"/>
            </a:spcAft>
            <a:buChar char="•"/>
          </a:pPr>
          <a:r>
            <a:rPr lang="en-US" sz="1000" kern="1200" dirty="0"/>
            <a:t>Changing investment and trade patterns driven by geopolitical shifts</a:t>
          </a:r>
        </a:p>
        <a:p>
          <a:pPr marL="57150" lvl="1" indent="-57150" algn="l" defTabSz="444500">
            <a:lnSpc>
              <a:spcPct val="90000"/>
            </a:lnSpc>
            <a:spcBef>
              <a:spcPct val="0"/>
            </a:spcBef>
            <a:spcAft>
              <a:spcPct val="15000"/>
            </a:spcAft>
            <a:buChar char="•"/>
          </a:pPr>
          <a:r>
            <a:rPr lang="en-US" sz="1000" kern="1200" dirty="0"/>
            <a:t>Need for innovation (especially green) for productivity growth and competitiveness</a:t>
          </a:r>
        </a:p>
      </dsp:txBody>
      <dsp:txXfrm>
        <a:off x="143664" y="363071"/>
        <a:ext cx="1768626" cy="3149333"/>
      </dsp:txXfrm>
    </dsp:sp>
    <dsp:sp modelId="{FDAC12F0-C8D2-4218-9861-E40F3375EC0C}">
      <dsp:nvSpPr>
        <dsp:cNvPr id="0" name=""/>
        <dsp:cNvSpPr/>
      </dsp:nvSpPr>
      <dsp:spPr>
        <a:xfrm rot="24988">
          <a:off x="2144631" y="-8289"/>
          <a:ext cx="499020" cy="292362"/>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144632" y="49864"/>
        <a:ext cx="411311" cy="175418"/>
      </dsp:txXfrm>
    </dsp:sp>
    <dsp:sp modelId="{C5230ED4-69A4-44E4-85B6-FB47AEFF5746}">
      <dsp:nvSpPr>
        <dsp:cNvPr id="0" name=""/>
        <dsp:cNvSpPr/>
      </dsp:nvSpPr>
      <dsp:spPr>
        <a:xfrm>
          <a:off x="2707661" y="62607"/>
          <a:ext cx="2230608" cy="338314"/>
        </a:xfrm>
        <a:prstGeom prst="roundRect">
          <a:avLst>
            <a:gd name="adj" fmla="val 1000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ctr" defTabSz="533400">
            <a:lnSpc>
              <a:spcPct val="90000"/>
            </a:lnSpc>
            <a:spcBef>
              <a:spcPct val="0"/>
            </a:spcBef>
            <a:spcAft>
              <a:spcPct val="35000"/>
            </a:spcAft>
            <a:buNone/>
          </a:pPr>
          <a:r>
            <a:rPr lang="en-US" sz="1200" b="1" kern="1200" dirty="0"/>
            <a:t>Changes in regulatory policy</a:t>
          </a:r>
        </a:p>
      </dsp:txBody>
      <dsp:txXfrm>
        <a:off x="2707661" y="62607"/>
        <a:ext cx="2230608" cy="225543"/>
      </dsp:txXfrm>
    </dsp:sp>
    <dsp:sp modelId="{432C737A-4479-42B2-9F87-321E6A004D30}">
      <dsp:nvSpPr>
        <dsp:cNvPr id="0" name=""/>
        <dsp:cNvSpPr/>
      </dsp:nvSpPr>
      <dsp:spPr>
        <a:xfrm>
          <a:off x="2825758" y="262273"/>
          <a:ext cx="2140576" cy="317448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a:t>More agile and coordinated approaches to regulation </a:t>
          </a:r>
        </a:p>
        <a:p>
          <a:pPr marL="57150" lvl="1" indent="-57150" algn="l" defTabSz="444500">
            <a:lnSpc>
              <a:spcPct val="90000"/>
            </a:lnSpc>
            <a:spcBef>
              <a:spcPct val="0"/>
            </a:spcBef>
            <a:spcAft>
              <a:spcPct val="15000"/>
            </a:spcAft>
            <a:buChar char="•"/>
          </a:pPr>
          <a:r>
            <a:rPr lang="en-US" sz="1000" kern="1200" dirty="0"/>
            <a:t>Risk-based approaches to licensing and inspections</a:t>
          </a:r>
        </a:p>
        <a:p>
          <a:pPr marL="57150" lvl="1" indent="-57150" algn="l" defTabSz="444500">
            <a:lnSpc>
              <a:spcPct val="90000"/>
            </a:lnSpc>
            <a:spcBef>
              <a:spcPct val="0"/>
            </a:spcBef>
            <a:spcAft>
              <a:spcPct val="15000"/>
            </a:spcAft>
            <a:buChar char="•"/>
          </a:pPr>
          <a:r>
            <a:rPr lang="en-US" sz="1000" kern="1200" dirty="0"/>
            <a:t>Goals-based regulation and less use of prescriptive requirements</a:t>
          </a:r>
        </a:p>
        <a:p>
          <a:pPr marL="57150" lvl="1" indent="-57150" algn="l" defTabSz="444500">
            <a:lnSpc>
              <a:spcPct val="90000"/>
            </a:lnSpc>
            <a:spcBef>
              <a:spcPct val="0"/>
            </a:spcBef>
            <a:spcAft>
              <a:spcPct val="15000"/>
            </a:spcAft>
            <a:buChar char="•"/>
          </a:pPr>
          <a:r>
            <a:rPr lang="en-US" sz="1000" kern="1200" dirty="0"/>
            <a:t>User-centric approaches and integrated digital services to minimize information requirements</a:t>
          </a:r>
        </a:p>
        <a:p>
          <a:pPr marL="57150" lvl="1" indent="-57150" algn="l" defTabSz="444500">
            <a:lnSpc>
              <a:spcPct val="90000"/>
            </a:lnSpc>
            <a:spcBef>
              <a:spcPct val="0"/>
            </a:spcBef>
            <a:spcAft>
              <a:spcPct val="15000"/>
            </a:spcAft>
            <a:buChar char="•"/>
          </a:pPr>
          <a:r>
            <a:rPr lang="en-US" sz="1000" kern="1200" dirty="0"/>
            <a:t>Greater use of data to monitor compliance</a:t>
          </a:r>
        </a:p>
        <a:p>
          <a:pPr marL="57150" lvl="1" indent="-57150" algn="l" defTabSz="444500">
            <a:lnSpc>
              <a:spcPct val="90000"/>
            </a:lnSpc>
            <a:spcBef>
              <a:spcPct val="0"/>
            </a:spcBef>
            <a:spcAft>
              <a:spcPct val="15000"/>
            </a:spcAft>
            <a:buChar char="•"/>
          </a:pPr>
          <a:r>
            <a:rPr lang="en-US" sz="1000" kern="1200" dirty="0"/>
            <a:t>Constant learning and adapting to changing context</a:t>
          </a:r>
        </a:p>
        <a:p>
          <a:pPr marL="57150" lvl="1" indent="-57150" algn="l" defTabSz="444500">
            <a:lnSpc>
              <a:spcPct val="90000"/>
            </a:lnSpc>
            <a:spcBef>
              <a:spcPct val="0"/>
            </a:spcBef>
            <a:spcAft>
              <a:spcPct val="15000"/>
            </a:spcAft>
            <a:buChar char="•"/>
          </a:pPr>
          <a:r>
            <a:rPr lang="en-US" sz="1000" kern="1200" dirty="0"/>
            <a:t>International collaboration (OECD, ASEAN)</a:t>
          </a:r>
        </a:p>
      </dsp:txBody>
      <dsp:txXfrm>
        <a:off x="2888453" y="324968"/>
        <a:ext cx="2015186" cy="30490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8.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a:extLst xmlns:a="http://schemas.openxmlformats.org/drawingml/2006/main">
            <a:ext uri="{FF2B5EF4-FFF2-40B4-BE49-F238E27FC236}">
              <a16:creationId xmlns:a16="http://schemas.microsoft.com/office/drawing/2014/main" id="{AE0383AB-0B8D-B89E-7BED-43D4BB6C634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39420" y="561060"/>
          <a:ext cx="8214760" cy="54864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3D0CA-DFB7-43DC-A78E-DD364D4F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25181</Words>
  <Characters>143537</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168382</CharactersWithSpaces>
  <SharedDoc>false</SharedDoc>
  <HLinks>
    <vt:vector size="312" baseType="variant">
      <vt:variant>
        <vt:i4>1376271</vt:i4>
      </vt:variant>
      <vt:variant>
        <vt:i4>153</vt:i4>
      </vt:variant>
      <vt:variant>
        <vt:i4>0</vt:i4>
      </vt:variant>
      <vt:variant>
        <vt:i4>5</vt:i4>
      </vt:variant>
      <vt:variant>
        <vt:lpwstr>https://www.oecd.org/investment/fdiindex.htm</vt:lpwstr>
      </vt:variant>
      <vt:variant>
        <vt:lpwstr/>
      </vt:variant>
      <vt:variant>
        <vt:i4>5570560</vt:i4>
      </vt:variant>
      <vt:variant>
        <vt:i4>150</vt:i4>
      </vt:variant>
      <vt:variant>
        <vt:i4>0</vt:i4>
      </vt:variant>
      <vt:variant>
        <vt:i4>5</vt:i4>
      </vt:variant>
      <vt:variant>
        <vt:lpwstr>https://pcivietnam.vn/en</vt:lpwstr>
      </vt:variant>
      <vt:variant>
        <vt:lpwstr/>
      </vt:variant>
      <vt:variant>
        <vt:i4>7536745</vt:i4>
      </vt:variant>
      <vt:variant>
        <vt:i4>147</vt:i4>
      </vt:variant>
      <vt:variant>
        <vt:i4>0</vt:i4>
      </vt:variant>
      <vt:variant>
        <vt:i4>5</vt:i4>
      </vt:variant>
      <vt:variant>
        <vt:lpwstr>https://www.worldbank.org/en/programs/entrepreneurship</vt:lpwstr>
      </vt:variant>
      <vt:variant>
        <vt:lpwstr/>
      </vt:variant>
      <vt:variant>
        <vt:i4>2949242</vt:i4>
      </vt:variant>
      <vt:variant>
        <vt:i4>144</vt:i4>
      </vt:variant>
      <vt:variant>
        <vt:i4>0</vt:i4>
      </vt:variant>
      <vt:variant>
        <vt:i4>5</vt:i4>
      </vt:variant>
      <vt:variant>
        <vt:lpwstr>https://www.enterprisesurveys.org/en/enterprisesurveys</vt:lpwstr>
      </vt:variant>
      <vt:variant>
        <vt:lpwstr/>
      </vt:variant>
      <vt:variant>
        <vt:i4>6029370</vt:i4>
      </vt:variant>
      <vt:variant>
        <vt:i4>141</vt:i4>
      </vt:variant>
      <vt:variant>
        <vt:i4>0</vt:i4>
      </vt:variant>
      <vt:variant>
        <vt:i4>5</vt:i4>
      </vt:variant>
      <vt:variant>
        <vt:lpwstr>https://www.worldbank.org/content/dam/enterprisesurveys/documents/methodology/Enterprise Surveys_Manual and Guide.pdf</vt:lpwstr>
      </vt:variant>
      <vt:variant>
        <vt:lpwstr/>
      </vt:variant>
      <vt:variant>
        <vt:i4>2359338</vt:i4>
      </vt:variant>
      <vt:variant>
        <vt:i4>138</vt:i4>
      </vt:variant>
      <vt:variant>
        <vt:i4>0</vt:i4>
      </vt:variant>
      <vt:variant>
        <vt:i4>5</vt:i4>
      </vt:variant>
      <vt:variant>
        <vt:lpwstr>https://www.gso.gov.vn/en/economic-census/</vt:lpwstr>
      </vt:variant>
      <vt:variant>
        <vt:lpwstr/>
      </vt:variant>
      <vt:variant>
        <vt:i4>4063344</vt:i4>
      </vt:variant>
      <vt:variant>
        <vt:i4>135</vt:i4>
      </vt:variant>
      <vt:variant>
        <vt:i4>0</vt:i4>
      </vt:variant>
      <vt:variant>
        <vt:i4>5</vt:i4>
      </vt:variant>
      <vt:variant>
        <vt:lpwstr>https://datatopics.worldbank.org/world-development-indicators/</vt:lpwstr>
      </vt:variant>
      <vt:variant>
        <vt:lpwstr/>
      </vt:variant>
      <vt:variant>
        <vt:i4>2228272</vt:i4>
      </vt:variant>
      <vt:variant>
        <vt:i4>132</vt:i4>
      </vt:variant>
      <vt:variant>
        <vt:i4>0</vt:i4>
      </vt:variant>
      <vt:variant>
        <vt:i4>5</vt:i4>
      </vt:variant>
      <vt:variant>
        <vt:lpwstr>http://dx.doi.org/10.1787/9789264096646-en</vt:lpwstr>
      </vt:variant>
      <vt:variant>
        <vt:lpwstr/>
      </vt:variant>
      <vt:variant>
        <vt:i4>1114164</vt:i4>
      </vt:variant>
      <vt:variant>
        <vt:i4>122</vt:i4>
      </vt:variant>
      <vt:variant>
        <vt:i4>0</vt:i4>
      </vt:variant>
      <vt:variant>
        <vt:i4>5</vt:i4>
      </vt:variant>
      <vt:variant>
        <vt:lpwstr/>
      </vt:variant>
      <vt:variant>
        <vt:lpwstr>_Toc168040904</vt:lpwstr>
      </vt:variant>
      <vt:variant>
        <vt:i4>1114164</vt:i4>
      </vt:variant>
      <vt:variant>
        <vt:i4>116</vt:i4>
      </vt:variant>
      <vt:variant>
        <vt:i4>0</vt:i4>
      </vt:variant>
      <vt:variant>
        <vt:i4>5</vt:i4>
      </vt:variant>
      <vt:variant>
        <vt:lpwstr/>
      </vt:variant>
      <vt:variant>
        <vt:lpwstr>_Toc168040903</vt:lpwstr>
      </vt:variant>
      <vt:variant>
        <vt:i4>1114164</vt:i4>
      </vt:variant>
      <vt:variant>
        <vt:i4>110</vt:i4>
      </vt:variant>
      <vt:variant>
        <vt:i4>0</vt:i4>
      </vt:variant>
      <vt:variant>
        <vt:i4>5</vt:i4>
      </vt:variant>
      <vt:variant>
        <vt:lpwstr/>
      </vt:variant>
      <vt:variant>
        <vt:lpwstr>_Toc168040902</vt:lpwstr>
      </vt:variant>
      <vt:variant>
        <vt:i4>1114164</vt:i4>
      </vt:variant>
      <vt:variant>
        <vt:i4>104</vt:i4>
      </vt:variant>
      <vt:variant>
        <vt:i4>0</vt:i4>
      </vt:variant>
      <vt:variant>
        <vt:i4>5</vt:i4>
      </vt:variant>
      <vt:variant>
        <vt:lpwstr/>
      </vt:variant>
      <vt:variant>
        <vt:lpwstr>_Toc168040901</vt:lpwstr>
      </vt:variant>
      <vt:variant>
        <vt:i4>1114164</vt:i4>
      </vt:variant>
      <vt:variant>
        <vt:i4>98</vt:i4>
      </vt:variant>
      <vt:variant>
        <vt:i4>0</vt:i4>
      </vt:variant>
      <vt:variant>
        <vt:i4>5</vt:i4>
      </vt:variant>
      <vt:variant>
        <vt:lpwstr/>
      </vt:variant>
      <vt:variant>
        <vt:lpwstr>_Toc168040900</vt:lpwstr>
      </vt:variant>
      <vt:variant>
        <vt:i4>1572917</vt:i4>
      </vt:variant>
      <vt:variant>
        <vt:i4>92</vt:i4>
      </vt:variant>
      <vt:variant>
        <vt:i4>0</vt:i4>
      </vt:variant>
      <vt:variant>
        <vt:i4>5</vt:i4>
      </vt:variant>
      <vt:variant>
        <vt:lpwstr/>
      </vt:variant>
      <vt:variant>
        <vt:lpwstr>_Toc168040899</vt:lpwstr>
      </vt:variant>
      <vt:variant>
        <vt:i4>1572917</vt:i4>
      </vt:variant>
      <vt:variant>
        <vt:i4>86</vt:i4>
      </vt:variant>
      <vt:variant>
        <vt:i4>0</vt:i4>
      </vt:variant>
      <vt:variant>
        <vt:i4>5</vt:i4>
      </vt:variant>
      <vt:variant>
        <vt:lpwstr/>
      </vt:variant>
      <vt:variant>
        <vt:lpwstr>_Toc168040898</vt:lpwstr>
      </vt:variant>
      <vt:variant>
        <vt:i4>1572917</vt:i4>
      </vt:variant>
      <vt:variant>
        <vt:i4>80</vt:i4>
      </vt:variant>
      <vt:variant>
        <vt:i4>0</vt:i4>
      </vt:variant>
      <vt:variant>
        <vt:i4>5</vt:i4>
      </vt:variant>
      <vt:variant>
        <vt:lpwstr/>
      </vt:variant>
      <vt:variant>
        <vt:lpwstr>_Toc168040897</vt:lpwstr>
      </vt:variant>
      <vt:variant>
        <vt:i4>1572917</vt:i4>
      </vt:variant>
      <vt:variant>
        <vt:i4>74</vt:i4>
      </vt:variant>
      <vt:variant>
        <vt:i4>0</vt:i4>
      </vt:variant>
      <vt:variant>
        <vt:i4>5</vt:i4>
      </vt:variant>
      <vt:variant>
        <vt:lpwstr/>
      </vt:variant>
      <vt:variant>
        <vt:lpwstr>_Toc168040896</vt:lpwstr>
      </vt:variant>
      <vt:variant>
        <vt:i4>1572917</vt:i4>
      </vt:variant>
      <vt:variant>
        <vt:i4>68</vt:i4>
      </vt:variant>
      <vt:variant>
        <vt:i4>0</vt:i4>
      </vt:variant>
      <vt:variant>
        <vt:i4>5</vt:i4>
      </vt:variant>
      <vt:variant>
        <vt:lpwstr/>
      </vt:variant>
      <vt:variant>
        <vt:lpwstr>_Toc168040895</vt:lpwstr>
      </vt:variant>
      <vt:variant>
        <vt:i4>1572917</vt:i4>
      </vt:variant>
      <vt:variant>
        <vt:i4>62</vt:i4>
      </vt:variant>
      <vt:variant>
        <vt:i4>0</vt:i4>
      </vt:variant>
      <vt:variant>
        <vt:i4>5</vt:i4>
      </vt:variant>
      <vt:variant>
        <vt:lpwstr/>
      </vt:variant>
      <vt:variant>
        <vt:lpwstr>_Toc168040894</vt:lpwstr>
      </vt:variant>
      <vt:variant>
        <vt:i4>1572917</vt:i4>
      </vt:variant>
      <vt:variant>
        <vt:i4>56</vt:i4>
      </vt:variant>
      <vt:variant>
        <vt:i4>0</vt:i4>
      </vt:variant>
      <vt:variant>
        <vt:i4>5</vt:i4>
      </vt:variant>
      <vt:variant>
        <vt:lpwstr/>
      </vt:variant>
      <vt:variant>
        <vt:lpwstr>_Toc168040893</vt:lpwstr>
      </vt:variant>
      <vt:variant>
        <vt:i4>1572917</vt:i4>
      </vt:variant>
      <vt:variant>
        <vt:i4>50</vt:i4>
      </vt:variant>
      <vt:variant>
        <vt:i4>0</vt:i4>
      </vt:variant>
      <vt:variant>
        <vt:i4>5</vt:i4>
      </vt:variant>
      <vt:variant>
        <vt:lpwstr/>
      </vt:variant>
      <vt:variant>
        <vt:lpwstr>_Toc168040892</vt:lpwstr>
      </vt:variant>
      <vt:variant>
        <vt:i4>1572917</vt:i4>
      </vt:variant>
      <vt:variant>
        <vt:i4>44</vt:i4>
      </vt:variant>
      <vt:variant>
        <vt:i4>0</vt:i4>
      </vt:variant>
      <vt:variant>
        <vt:i4>5</vt:i4>
      </vt:variant>
      <vt:variant>
        <vt:lpwstr/>
      </vt:variant>
      <vt:variant>
        <vt:lpwstr>_Toc168040891</vt:lpwstr>
      </vt:variant>
      <vt:variant>
        <vt:i4>1572917</vt:i4>
      </vt:variant>
      <vt:variant>
        <vt:i4>38</vt:i4>
      </vt:variant>
      <vt:variant>
        <vt:i4>0</vt:i4>
      </vt:variant>
      <vt:variant>
        <vt:i4>5</vt:i4>
      </vt:variant>
      <vt:variant>
        <vt:lpwstr/>
      </vt:variant>
      <vt:variant>
        <vt:lpwstr>_Toc168040890</vt:lpwstr>
      </vt:variant>
      <vt:variant>
        <vt:i4>1638453</vt:i4>
      </vt:variant>
      <vt:variant>
        <vt:i4>32</vt:i4>
      </vt:variant>
      <vt:variant>
        <vt:i4>0</vt:i4>
      </vt:variant>
      <vt:variant>
        <vt:i4>5</vt:i4>
      </vt:variant>
      <vt:variant>
        <vt:lpwstr/>
      </vt:variant>
      <vt:variant>
        <vt:lpwstr>_Toc168040889</vt:lpwstr>
      </vt:variant>
      <vt:variant>
        <vt:i4>1638453</vt:i4>
      </vt:variant>
      <vt:variant>
        <vt:i4>26</vt:i4>
      </vt:variant>
      <vt:variant>
        <vt:i4>0</vt:i4>
      </vt:variant>
      <vt:variant>
        <vt:i4>5</vt:i4>
      </vt:variant>
      <vt:variant>
        <vt:lpwstr/>
      </vt:variant>
      <vt:variant>
        <vt:lpwstr>_Toc168040888</vt:lpwstr>
      </vt:variant>
      <vt:variant>
        <vt:i4>1638453</vt:i4>
      </vt:variant>
      <vt:variant>
        <vt:i4>20</vt:i4>
      </vt:variant>
      <vt:variant>
        <vt:i4>0</vt:i4>
      </vt:variant>
      <vt:variant>
        <vt:i4>5</vt:i4>
      </vt:variant>
      <vt:variant>
        <vt:lpwstr/>
      </vt:variant>
      <vt:variant>
        <vt:lpwstr>_Toc168040887</vt:lpwstr>
      </vt:variant>
      <vt:variant>
        <vt:i4>1638453</vt:i4>
      </vt:variant>
      <vt:variant>
        <vt:i4>14</vt:i4>
      </vt:variant>
      <vt:variant>
        <vt:i4>0</vt:i4>
      </vt:variant>
      <vt:variant>
        <vt:i4>5</vt:i4>
      </vt:variant>
      <vt:variant>
        <vt:lpwstr/>
      </vt:variant>
      <vt:variant>
        <vt:lpwstr>_Toc168040886</vt:lpwstr>
      </vt:variant>
      <vt:variant>
        <vt:i4>1638453</vt:i4>
      </vt:variant>
      <vt:variant>
        <vt:i4>8</vt:i4>
      </vt:variant>
      <vt:variant>
        <vt:i4>0</vt:i4>
      </vt:variant>
      <vt:variant>
        <vt:i4>5</vt:i4>
      </vt:variant>
      <vt:variant>
        <vt:lpwstr/>
      </vt:variant>
      <vt:variant>
        <vt:lpwstr>_Toc168040885</vt:lpwstr>
      </vt:variant>
      <vt:variant>
        <vt:i4>1638453</vt:i4>
      </vt:variant>
      <vt:variant>
        <vt:i4>2</vt:i4>
      </vt:variant>
      <vt:variant>
        <vt:i4>0</vt:i4>
      </vt:variant>
      <vt:variant>
        <vt:i4>5</vt:i4>
      </vt:variant>
      <vt:variant>
        <vt:lpwstr/>
      </vt:variant>
      <vt:variant>
        <vt:lpwstr>_Toc168040884</vt:lpwstr>
      </vt:variant>
      <vt:variant>
        <vt:i4>5374040</vt:i4>
      </vt:variant>
      <vt:variant>
        <vt:i4>33</vt:i4>
      </vt:variant>
      <vt:variant>
        <vt:i4>0</vt:i4>
      </vt:variant>
      <vt:variant>
        <vt:i4>5</vt:i4>
      </vt:variant>
      <vt:variant>
        <vt:lpwstr>https://www.w3.org/WAI/standards-guidelines/</vt:lpwstr>
      </vt:variant>
      <vt:variant>
        <vt:lpwstr/>
      </vt:variant>
      <vt:variant>
        <vt:i4>1769495</vt:i4>
      </vt:variant>
      <vt:variant>
        <vt:i4>30</vt:i4>
      </vt:variant>
      <vt:variant>
        <vt:i4>0</vt:i4>
      </vt:variant>
      <vt:variant>
        <vt:i4>5</vt:i4>
      </vt:variant>
      <vt:variant>
        <vt:lpwstr>https://www.gov.uk/guidance/content-design/writing-for-gov-uk</vt:lpwstr>
      </vt:variant>
      <vt:variant>
        <vt:lpwstr/>
      </vt:variant>
      <vt:variant>
        <vt:i4>2490405</vt:i4>
      </vt:variant>
      <vt:variant>
        <vt:i4>27</vt:i4>
      </vt:variant>
      <vt:variant>
        <vt:i4>0</vt:i4>
      </vt:variant>
      <vt:variant>
        <vt:i4>5</vt:i4>
      </vt:variant>
      <vt:variant>
        <vt:lpwstr>https://groups.oasis-open.org/communities/tc-community-home2?CommunityKey=3425f20f-b704-4076-9fab-018dc7d3efbe</vt:lpwstr>
      </vt:variant>
      <vt:variant>
        <vt:lpwstr/>
      </vt:variant>
      <vt:variant>
        <vt:i4>2424888</vt:i4>
      </vt:variant>
      <vt:variant>
        <vt:i4>24</vt:i4>
      </vt:variant>
      <vt:variant>
        <vt:i4>0</vt:i4>
      </vt:variant>
      <vt:variant>
        <vt:i4>5</vt:i4>
      </vt:variant>
      <vt:variant>
        <vt:lpwstr>http://www.publicrevenue.gr/elib/view?d=/gr/act/2016/4442/</vt:lpwstr>
      </vt:variant>
      <vt:variant>
        <vt:lpwstr/>
      </vt:variant>
      <vt:variant>
        <vt:i4>2293794</vt:i4>
      </vt:variant>
      <vt:variant>
        <vt:i4>21</vt:i4>
      </vt:variant>
      <vt:variant>
        <vt:i4>0</vt:i4>
      </vt:variant>
      <vt:variant>
        <vt:i4>5</vt:i4>
      </vt:variant>
      <vt:variant>
        <vt:lpwstr>https://doi.org/10.1787/38b0fdb1-en</vt:lpwstr>
      </vt:variant>
      <vt:variant>
        <vt:lpwstr/>
      </vt:variant>
      <vt:variant>
        <vt:i4>786461</vt:i4>
      </vt:variant>
      <vt:variant>
        <vt:i4>18</vt:i4>
      </vt:variant>
      <vt:variant>
        <vt:i4>0</vt:i4>
      </vt:variant>
      <vt:variant>
        <vt:i4>5</vt:i4>
      </vt:variant>
      <vt:variant>
        <vt:lpwstr>https://data.europa.eu/doi/10.2759/488218</vt:lpwstr>
      </vt:variant>
      <vt:variant>
        <vt:lpwstr/>
      </vt:variant>
      <vt:variant>
        <vt:i4>524369</vt:i4>
      </vt:variant>
      <vt:variant>
        <vt:i4>15</vt:i4>
      </vt:variant>
      <vt:variant>
        <vt:i4>0</vt:i4>
      </vt:variant>
      <vt:variant>
        <vt:i4>5</vt:i4>
      </vt:variant>
      <vt:variant>
        <vt:lpwstr>https://quydinhkinhdoanh.gov.vn/p/home/tmv-trang-chu.html</vt:lpwstr>
      </vt:variant>
      <vt:variant>
        <vt:lpwstr/>
      </vt:variant>
      <vt:variant>
        <vt:i4>30</vt:i4>
      </vt:variant>
      <vt:variant>
        <vt:i4>12</vt:i4>
      </vt:variant>
      <vt:variant>
        <vt:i4>0</vt:i4>
      </vt:variant>
      <vt:variant>
        <vt:i4>5</vt:i4>
      </vt:variant>
      <vt:variant>
        <vt:lpwstr>http://hscv.vpcp.vn/Authentication%21actionChooseGroup.do</vt:lpwstr>
      </vt:variant>
      <vt:variant>
        <vt:lpwstr/>
      </vt:variant>
      <vt:variant>
        <vt:i4>524369</vt:i4>
      </vt:variant>
      <vt:variant>
        <vt:i4>9</vt:i4>
      </vt:variant>
      <vt:variant>
        <vt:i4>0</vt:i4>
      </vt:variant>
      <vt:variant>
        <vt:i4>5</vt:i4>
      </vt:variant>
      <vt:variant>
        <vt:lpwstr>https://quydinhkinhdoanh.gov.vn/p/home/tmv-trang-chu.html</vt:lpwstr>
      </vt:variant>
      <vt:variant>
        <vt:lpwstr/>
      </vt:variant>
      <vt:variant>
        <vt:i4>6684735</vt:i4>
      </vt:variant>
      <vt:variant>
        <vt:i4>6</vt:i4>
      </vt:variant>
      <vt:variant>
        <vt:i4>0</vt:i4>
      </vt:variant>
      <vt:variant>
        <vt:i4>5</vt:i4>
      </vt:variant>
      <vt:variant>
        <vt:lpwstr>https://dichvucong.gov.vn/p/home/dvc-trang-chu.html</vt:lpwstr>
      </vt:variant>
      <vt:variant>
        <vt:lpwstr/>
      </vt:variant>
      <vt:variant>
        <vt:i4>7798909</vt:i4>
      </vt:variant>
      <vt:variant>
        <vt:i4>3</vt:i4>
      </vt:variant>
      <vt:variant>
        <vt:i4>0</vt:i4>
      </vt:variant>
      <vt:variant>
        <vt:i4>5</vt:i4>
      </vt:variant>
      <vt:variant>
        <vt:lpwstr>https://doi.org/10.1787/aad87f86-en</vt:lpwstr>
      </vt:variant>
      <vt:variant>
        <vt:lpwstr/>
      </vt:variant>
      <vt:variant>
        <vt:i4>4718593</vt:i4>
      </vt:variant>
      <vt:variant>
        <vt:i4>0</vt:i4>
      </vt:variant>
      <vt:variant>
        <vt:i4>0</vt:i4>
      </vt:variant>
      <vt:variant>
        <vt:i4>5</vt:i4>
      </vt:variant>
      <vt:variant>
        <vt:lpwstr>https://www.mercatus.org/research/working-papers/regdata</vt:lpwstr>
      </vt:variant>
      <vt:variant>
        <vt:lpwstr/>
      </vt:variant>
      <vt:variant>
        <vt:i4>7405651</vt:i4>
      </vt:variant>
      <vt:variant>
        <vt:i4>30</vt:i4>
      </vt:variant>
      <vt:variant>
        <vt:i4>0</vt:i4>
      </vt:variant>
      <vt:variant>
        <vt:i4>5</vt:i4>
      </vt:variant>
      <vt:variant>
        <vt:lpwstr>mailto:vdang@worldbank.org</vt:lpwstr>
      </vt:variant>
      <vt:variant>
        <vt:lpwstr/>
      </vt:variant>
      <vt:variant>
        <vt:i4>720939</vt:i4>
      </vt:variant>
      <vt:variant>
        <vt:i4>27</vt:i4>
      </vt:variant>
      <vt:variant>
        <vt:i4>0</vt:i4>
      </vt:variant>
      <vt:variant>
        <vt:i4>5</vt:i4>
      </vt:variant>
      <vt:variant>
        <vt:lpwstr>mailto:zhernandez@worldbank.org</vt:lpwstr>
      </vt:variant>
      <vt:variant>
        <vt:lpwstr/>
      </vt:variant>
      <vt:variant>
        <vt:i4>7209052</vt:i4>
      </vt:variant>
      <vt:variant>
        <vt:i4>24</vt:i4>
      </vt:variant>
      <vt:variant>
        <vt:i4>0</vt:i4>
      </vt:variant>
      <vt:variant>
        <vt:i4>5</vt:i4>
      </vt:variant>
      <vt:variant>
        <vt:lpwstr>mailto:amolfetas@worldbank.org</vt:lpwstr>
      </vt:variant>
      <vt:variant>
        <vt:lpwstr/>
      </vt:variant>
      <vt:variant>
        <vt:i4>720939</vt:i4>
      </vt:variant>
      <vt:variant>
        <vt:i4>21</vt:i4>
      </vt:variant>
      <vt:variant>
        <vt:i4>0</vt:i4>
      </vt:variant>
      <vt:variant>
        <vt:i4>5</vt:i4>
      </vt:variant>
      <vt:variant>
        <vt:lpwstr>mailto:zhernandez@worldbank.org</vt:lpwstr>
      </vt:variant>
      <vt:variant>
        <vt:lpwstr/>
      </vt:variant>
      <vt:variant>
        <vt:i4>262207</vt:i4>
      </vt:variant>
      <vt:variant>
        <vt:i4>18</vt:i4>
      </vt:variant>
      <vt:variant>
        <vt:i4>0</vt:i4>
      </vt:variant>
      <vt:variant>
        <vt:i4>5</vt:i4>
      </vt:variant>
      <vt:variant>
        <vt:lpwstr>mailto:mpiatkowski@worldbank.org</vt:lpwstr>
      </vt:variant>
      <vt:variant>
        <vt:lpwstr/>
      </vt:variant>
      <vt:variant>
        <vt:i4>1900592</vt:i4>
      </vt:variant>
      <vt:variant>
        <vt:i4>15</vt:i4>
      </vt:variant>
      <vt:variant>
        <vt:i4>0</vt:i4>
      </vt:variant>
      <vt:variant>
        <vt:i4>5</vt:i4>
      </vt:variant>
      <vt:variant>
        <vt:lpwstr>mailto:mpinzonlatorre@worldbank.org</vt:lpwstr>
      </vt:variant>
      <vt:variant>
        <vt:lpwstr/>
      </vt:variant>
      <vt:variant>
        <vt:i4>7209052</vt:i4>
      </vt:variant>
      <vt:variant>
        <vt:i4>12</vt:i4>
      </vt:variant>
      <vt:variant>
        <vt:i4>0</vt:i4>
      </vt:variant>
      <vt:variant>
        <vt:i4>5</vt:i4>
      </vt:variant>
      <vt:variant>
        <vt:lpwstr>mailto:amolfetas@worldbank.org</vt:lpwstr>
      </vt:variant>
      <vt:variant>
        <vt:lpwstr/>
      </vt:variant>
      <vt:variant>
        <vt:i4>720939</vt:i4>
      </vt:variant>
      <vt:variant>
        <vt:i4>9</vt:i4>
      </vt:variant>
      <vt:variant>
        <vt:i4>0</vt:i4>
      </vt:variant>
      <vt:variant>
        <vt:i4>5</vt:i4>
      </vt:variant>
      <vt:variant>
        <vt:lpwstr>mailto:zhernandez@worldbank.org</vt:lpwstr>
      </vt:variant>
      <vt:variant>
        <vt:lpwstr/>
      </vt:variant>
      <vt:variant>
        <vt:i4>4259934</vt:i4>
      </vt:variant>
      <vt:variant>
        <vt:i4>6</vt:i4>
      </vt:variant>
      <vt:variant>
        <vt:i4>0</vt:i4>
      </vt:variant>
      <vt:variant>
        <vt:i4>5</vt:i4>
      </vt:variant>
      <vt:variant>
        <vt:lpwstr>https://dichvucong.gov.vn/p/home/dvc-index-tinhthanhpho-dvctructuyen.html</vt:lpwstr>
      </vt:variant>
      <vt:variant>
        <vt:lpwstr/>
      </vt:variant>
      <vt:variant>
        <vt:i4>7405651</vt:i4>
      </vt:variant>
      <vt:variant>
        <vt:i4>3</vt:i4>
      </vt:variant>
      <vt:variant>
        <vt:i4>0</vt:i4>
      </vt:variant>
      <vt:variant>
        <vt:i4>5</vt:i4>
      </vt:variant>
      <vt:variant>
        <vt:lpwstr>mailto:vdang@worldbank.org</vt:lpwstr>
      </vt:variant>
      <vt:variant>
        <vt:lpwstr/>
      </vt:variant>
      <vt:variant>
        <vt:i4>720939</vt:i4>
      </vt:variant>
      <vt:variant>
        <vt:i4>0</vt:i4>
      </vt:variant>
      <vt:variant>
        <vt:i4>0</vt:i4>
      </vt:variant>
      <vt:variant>
        <vt:i4>5</vt:i4>
      </vt:variant>
      <vt:variant>
        <vt:lpwstr>mailto:zhernandez@worldbank.org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Zenaida Hernandez Uriz</dc:creator>
  <cp:keywords/>
  <dc:description/>
  <cp:lastModifiedBy>user1</cp:lastModifiedBy>
  <cp:revision>2</cp:revision>
  <dcterms:created xsi:type="dcterms:W3CDTF">2024-08-28T02:38:00Z</dcterms:created>
  <dcterms:modified xsi:type="dcterms:W3CDTF">2024-08-28T02:38:00Z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